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915DB" w14:textId="77777777" w:rsidR="002D7193" w:rsidRDefault="002D7193" w:rsidP="002D7193">
      <w:pPr>
        <w:jc w:val="center"/>
        <w:rPr>
          <w:rFonts w:ascii="Times New Roman" w:hAnsi="Times New Roman" w:cs="Times New Roman"/>
          <w:b/>
          <w:sz w:val="24"/>
          <w:szCs w:val="24"/>
        </w:rPr>
      </w:pPr>
      <w:r w:rsidRPr="002D7193">
        <w:rPr>
          <w:rFonts w:ascii="Times New Roman" w:hAnsi="Times New Roman" w:cs="Times New Roman"/>
          <w:b/>
          <w:sz w:val="24"/>
          <w:szCs w:val="24"/>
        </w:rPr>
        <w:t>Preliminary Economic Analysis for Improving Quality and Efficiency of the Health System in Georgia Project</w:t>
      </w:r>
    </w:p>
    <w:p w14:paraId="118811E2" w14:textId="77777777" w:rsidR="002D7193" w:rsidRPr="002D7193" w:rsidRDefault="002D7193" w:rsidP="002D7193">
      <w:pPr>
        <w:jc w:val="center"/>
        <w:rPr>
          <w:rFonts w:ascii="Times New Roman" w:hAnsi="Times New Roman" w:cs="Times New Roman"/>
          <w:b/>
          <w:sz w:val="24"/>
          <w:szCs w:val="24"/>
        </w:rPr>
      </w:pPr>
    </w:p>
    <w:p w14:paraId="2C22BBBC" w14:textId="77777777" w:rsidR="00055C6C" w:rsidRPr="00B363BE" w:rsidRDefault="002E2B0E">
      <w:pPr>
        <w:rPr>
          <w:rFonts w:ascii="Times New Roman" w:hAnsi="Times New Roman" w:cs="Times New Roman"/>
          <w:sz w:val="24"/>
          <w:szCs w:val="24"/>
        </w:rPr>
      </w:pPr>
      <w:r>
        <w:rPr>
          <w:rFonts w:ascii="Times New Roman" w:hAnsi="Times New Roman" w:cs="Times New Roman"/>
          <w:sz w:val="24"/>
          <w:szCs w:val="24"/>
        </w:rPr>
        <w:t xml:space="preserve">The 2017 </w:t>
      </w:r>
      <w:r w:rsidR="004941BF" w:rsidRPr="00B363BE">
        <w:rPr>
          <w:rFonts w:ascii="Times New Roman" w:hAnsi="Times New Roman" w:cs="Times New Roman"/>
          <w:sz w:val="24"/>
          <w:szCs w:val="24"/>
        </w:rPr>
        <w:t>P</w:t>
      </w:r>
      <w:r>
        <w:rPr>
          <w:rFonts w:ascii="Times New Roman" w:hAnsi="Times New Roman" w:cs="Times New Roman"/>
          <w:sz w:val="24"/>
          <w:szCs w:val="24"/>
        </w:rPr>
        <w:t>ublic Expenditure Review (PER) identified the following challenges facing Georgia’s health system</w:t>
      </w:r>
      <w:r w:rsidR="004941BF" w:rsidRPr="00B363BE">
        <w:rPr>
          <w:rFonts w:ascii="Times New Roman" w:hAnsi="Times New Roman" w:cs="Times New Roman"/>
          <w:sz w:val="24"/>
          <w:szCs w:val="24"/>
        </w:rPr>
        <w:t>:</w:t>
      </w:r>
    </w:p>
    <w:p w14:paraId="4B88E15B" w14:textId="77777777" w:rsidR="004941BF" w:rsidRPr="00B363BE" w:rsidRDefault="004941BF" w:rsidP="004941BF">
      <w:pPr>
        <w:pStyle w:val="ListParagraph"/>
        <w:numPr>
          <w:ilvl w:val="0"/>
          <w:numId w:val="1"/>
        </w:numPr>
        <w:rPr>
          <w:rFonts w:ascii="Times New Roman" w:hAnsi="Times New Roman" w:cs="Times New Roman"/>
          <w:sz w:val="24"/>
          <w:szCs w:val="24"/>
        </w:rPr>
      </w:pPr>
      <w:r w:rsidRPr="00B363BE">
        <w:rPr>
          <w:rFonts w:ascii="Times New Roman" w:hAnsi="Times New Roman" w:cs="Times New Roman"/>
          <w:sz w:val="24"/>
          <w:szCs w:val="24"/>
        </w:rPr>
        <w:t>Purchasing mechanism</w:t>
      </w:r>
      <w:r w:rsidR="002D7193">
        <w:rPr>
          <w:rFonts w:ascii="Times New Roman" w:hAnsi="Times New Roman" w:cs="Times New Roman"/>
          <w:sz w:val="24"/>
          <w:szCs w:val="24"/>
        </w:rPr>
        <w:t>s</w:t>
      </w:r>
      <w:r w:rsidRPr="00B363BE">
        <w:rPr>
          <w:rFonts w:ascii="Times New Roman" w:hAnsi="Times New Roman" w:cs="Times New Roman"/>
          <w:sz w:val="24"/>
          <w:szCs w:val="24"/>
        </w:rPr>
        <w:t xml:space="preserve"> are weak at managing costs effectively</w:t>
      </w:r>
    </w:p>
    <w:p w14:paraId="5D3A3387" w14:textId="77777777" w:rsidR="004941BF" w:rsidRPr="00B363BE" w:rsidRDefault="004941BF" w:rsidP="004941BF">
      <w:pPr>
        <w:pStyle w:val="ListParagraph"/>
        <w:numPr>
          <w:ilvl w:val="0"/>
          <w:numId w:val="1"/>
        </w:numPr>
        <w:rPr>
          <w:rFonts w:ascii="Times New Roman" w:hAnsi="Times New Roman" w:cs="Times New Roman"/>
          <w:sz w:val="24"/>
          <w:szCs w:val="24"/>
        </w:rPr>
      </w:pPr>
      <w:r w:rsidRPr="00B363BE">
        <w:rPr>
          <w:rFonts w:ascii="Times New Roman" w:hAnsi="Times New Roman" w:cs="Times New Roman"/>
          <w:sz w:val="24"/>
          <w:szCs w:val="24"/>
        </w:rPr>
        <w:t>Current design and implementation of UHC generates incentives towards high cost services and undermines efforts to effectively manage chronic conditions</w:t>
      </w:r>
    </w:p>
    <w:p w14:paraId="1CD7A939" w14:textId="77777777" w:rsidR="004941BF" w:rsidRPr="00B363BE" w:rsidRDefault="004941BF" w:rsidP="004941BF">
      <w:pPr>
        <w:pStyle w:val="ListParagraph"/>
        <w:numPr>
          <w:ilvl w:val="0"/>
          <w:numId w:val="1"/>
        </w:numPr>
        <w:rPr>
          <w:rFonts w:ascii="Times New Roman" w:hAnsi="Times New Roman" w:cs="Times New Roman"/>
          <w:sz w:val="24"/>
          <w:szCs w:val="24"/>
        </w:rPr>
      </w:pPr>
      <w:r w:rsidRPr="00B363BE">
        <w:rPr>
          <w:rFonts w:ascii="Times New Roman" w:hAnsi="Times New Roman" w:cs="Times New Roman"/>
          <w:sz w:val="24"/>
          <w:szCs w:val="24"/>
        </w:rPr>
        <w:t>High cost of pharmaceutical</w:t>
      </w:r>
      <w:r w:rsidR="002D7193">
        <w:rPr>
          <w:rFonts w:ascii="Times New Roman" w:hAnsi="Times New Roman" w:cs="Times New Roman"/>
          <w:sz w:val="24"/>
          <w:szCs w:val="24"/>
        </w:rPr>
        <w:t>s</w:t>
      </w:r>
      <w:r w:rsidRPr="00B363BE">
        <w:rPr>
          <w:rFonts w:ascii="Times New Roman" w:hAnsi="Times New Roman" w:cs="Times New Roman"/>
          <w:sz w:val="24"/>
          <w:szCs w:val="24"/>
        </w:rPr>
        <w:t xml:space="preserve"> generates pressures on UHC</w:t>
      </w:r>
    </w:p>
    <w:p w14:paraId="1883A7C2" w14:textId="77777777" w:rsidR="002E2B0E" w:rsidRDefault="00303C5F">
      <w:pPr>
        <w:rPr>
          <w:rFonts w:ascii="Times New Roman" w:hAnsi="Times New Roman" w:cs="Times New Roman"/>
          <w:sz w:val="24"/>
          <w:szCs w:val="24"/>
        </w:rPr>
      </w:pPr>
      <w:r w:rsidRPr="00B363BE">
        <w:rPr>
          <w:rFonts w:ascii="Times New Roman" w:hAnsi="Times New Roman" w:cs="Times New Roman"/>
          <w:sz w:val="24"/>
          <w:szCs w:val="24"/>
        </w:rPr>
        <w:t>The proposed Improving</w:t>
      </w:r>
      <w:r w:rsidR="006E7209" w:rsidRPr="00B363BE">
        <w:rPr>
          <w:rFonts w:ascii="Times New Roman" w:hAnsi="Times New Roman" w:cs="Times New Roman"/>
          <w:sz w:val="24"/>
          <w:szCs w:val="24"/>
        </w:rPr>
        <w:t xml:space="preserve"> Quality and Efficiency of the Health System in Georgia </w:t>
      </w:r>
      <w:r w:rsidR="002D7193">
        <w:rPr>
          <w:rFonts w:ascii="Times New Roman" w:hAnsi="Times New Roman" w:cs="Times New Roman"/>
          <w:sz w:val="24"/>
          <w:szCs w:val="24"/>
        </w:rPr>
        <w:t>is</w:t>
      </w:r>
      <w:r w:rsidR="002E2B0E">
        <w:rPr>
          <w:rFonts w:ascii="Times New Roman" w:hAnsi="Times New Roman" w:cs="Times New Roman"/>
          <w:sz w:val="24"/>
          <w:szCs w:val="24"/>
        </w:rPr>
        <w:t xml:space="preserve"> designed to tackle these issues. </w:t>
      </w:r>
      <w:r w:rsidR="00055C6C" w:rsidRPr="00B363BE">
        <w:rPr>
          <w:rFonts w:ascii="Times New Roman" w:hAnsi="Times New Roman" w:cs="Times New Roman"/>
          <w:sz w:val="24"/>
          <w:szCs w:val="24"/>
        </w:rPr>
        <w:t>The components of the proposed project are well aligned with Georgia’s Social Economic Development Strategy</w:t>
      </w:r>
      <w:r w:rsidR="002E2B0E">
        <w:rPr>
          <w:rFonts w:ascii="Times New Roman" w:hAnsi="Times New Roman" w:cs="Times New Roman"/>
          <w:sz w:val="24"/>
          <w:szCs w:val="24"/>
        </w:rPr>
        <w:t>’s</w:t>
      </w:r>
      <w:r w:rsidR="00055C6C" w:rsidRPr="00B363BE">
        <w:rPr>
          <w:rFonts w:ascii="Times New Roman" w:hAnsi="Times New Roman" w:cs="Times New Roman"/>
          <w:sz w:val="24"/>
          <w:szCs w:val="24"/>
        </w:rPr>
        <w:t xml:space="preserve"> (Georgia 2020)</w:t>
      </w:r>
      <w:r w:rsidR="00795EBF">
        <w:rPr>
          <w:rFonts w:ascii="Times New Roman" w:hAnsi="Times New Roman" w:cs="Times New Roman"/>
          <w:sz w:val="24"/>
          <w:szCs w:val="24"/>
        </w:rPr>
        <w:t xml:space="preserve"> </w:t>
      </w:r>
      <w:r w:rsidR="002E2B0E">
        <w:rPr>
          <w:rFonts w:ascii="Times New Roman" w:hAnsi="Times New Roman" w:cs="Times New Roman"/>
          <w:sz w:val="24"/>
          <w:szCs w:val="24"/>
        </w:rPr>
        <w:t>objectives – to ensure accessible and high quality health care</w:t>
      </w:r>
      <w:r w:rsidR="00055C6C" w:rsidRPr="00B363BE">
        <w:rPr>
          <w:rFonts w:ascii="Times New Roman" w:hAnsi="Times New Roman" w:cs="Times New Roman"/>
          <w:sz w:val="24"/>
          <w:szCs w:val="24"/>
        </w:rPr>
        <w:t xml:space="preserve">. </w:t>
      </w:r>
    </w:p>
    <w:p w14:paraId="0DC76BDC" w14:textId="77777777" w:rsidR="00795EBF" w:rsidRDefault="002E2B0E">
      <w:pPr>
        <w:rPr>
          <w:rFonts w:ascii="Times New Roman" w:hAnsi="Times New Roman" w:cs="Times New Roman"/>
          <w:sz w:val="24"/>
          <w:szCs w:val="24"/>
        </w:rPr>
      </w:pPr>
      <w:r>
        <w:rPr>
          <w:rFonts w:ascii="Times New Roman" w:hAnsi="Times New Roman" w:cs="Times New Roman"/>
          <w:sz w:val="24"/>
          <w:szCs w:val="24"/>
        </w:rPr>
        <w:t>A preliminary economic analysis was conducted</w:t>
      </w:r>
      <w:r w:rsidR="002D7193">
        <w:rPr>
          <w:rFonts w:ascii="Times New Roman" w:hAnsi="Times New Roman" w:cs="Times New Roman"/>
          <w:sz w:val="24"/>
          <w:szCs w:val="24"/>
        </w:rPr>
        <w:t xml:space="preserve"> to estimate the Project’s </w:t>
      </w:r>
      <w:r w:rsidR="00795EBF">
        <w:rPr>
          <w:rFonts w:ascii="Times New Roman" w:hAnsi="Times New Roman" w:cs="Times New Roman"/>
          <w:sz w:val="24"/>
          <w:szCs w:val="24"/>
        </w:rPr>
        <w:t xml:space="preserve">potential </w:t>
      </w:r>
      <w:r w:rsidR="002D7193">
        <w:rPr>
          <w:rFonts w:ascii="Times New Roman" w:hAnsi="Times New Roman" w:cs="Times New Roman"/>
          <w:sz w:val="24"/>
          <w:szCs w:val="24"/>
        </w:rPr>
        <w:t>development impact</w:t>
      </w:r>
      <w:r w:rsidR="00795EBF">
        <w:rPr>
          <w:rFonts w:ascii="Times New Roman" w:hAnsi="Times New Roman" w:cs="Times New Roman"/>
          <w:sz w:val="24"/>
          <w:szCs w:val="24"/>
        </w:rPr>
        <w:t xml:space="preserve">. The analysis was based on the project </w:t>
      </w:r>
      <w:r w:rsidR="002D7193">
        <w:rPr>
          <w:rFonts w:ascii="Times New Roman" w:hAnsi="Times New Roman" w:cs="Times New Roman"/>
          <w:sz w:val="24"/>
          <w:szCs w:val="24"/>
        </w:rPr>
        <w:t>components and associated costs</w:t>
      </w:r>
      <w:r>
        <w:rPr>
          <w:rFonts w:ascii="Times New Roman" w:hAnsi="Times New Roman" w:cs="Times New Roman"/>
          <w:sz w:val="24"/>
          <w:szCs w:val="24"/>
        </w:rPr>
        <w:t xml:space="preserve"> </w:t>
      </w:r>
      <w:r w:rsidR="00795EBF">
        <w:rPr>
          <w:rFonts w:ascii="Times New Roman" w:hAnsi="Times New Roman" w:cs="Times New Roman"/>
          <w:sz w:val="24"/>
          <w:szCs w:val="24"/>
        </w:rPr>
        <w:t xml:space="preserve">presented in </w:t>
      </w:r>
      <w:r w:rsidR="00223291">
        <w:rPr>
          <w:rFonts w:ascii="Times New Roman" w:hAnsi="Times New Roman" w:cs="Times New Roman"/>
          <w:sz w:val="24"/>
          <w:szCs w:val="24"/>
        </w:rPr>
        <w:t>the dr</w:t>
      </w:r>
      <w:r w:rsidR="00766191">
        <w:rPr>
          <w:rFonts w:ascii="Times New Roman" w:hAnsi="Times New Roman" w:cs="Times New Roman"/>
          <w:sz w:val="24"/>
          <w:szCs w:val="24"/>
        </w:rPr>
        <w:t xml:space="preserve">aft budget (Annex 1). Given that the project has not yet been fully developed and no indicators have been proposed, a number of assumptions were made in line with previous economic analyses conducted for World Bank projects in the health sector. </w:t>
      </w:r>
    </w:p>
    <w:p w14:paraId="36819B1C" w14:textId="77777777" w:rsidR="002E2B0E" w:rsidRDefault="00766191">
      <w:pPr>
        <w:rPr>
          <w:rFonts w:ascii="Times New Roman" w:hAnsi="Times New Roman" w:cs="Times New Roman"/>
          <w:sz w:val="24"/>
          <w:szCs w:val="24"/>
        </w:rPr>
      </w:pPr>
      <w:r>
        <w:rPr>
          <w:rFonts w:ascii="Times New Roman" w:hAnsi="Times New Roman" w:cs="Times New Roman"/>
          <w:sz w:val="24"/>
          <w:szCs w:val="24"/>
        </w:rPr>
        <w:t>The analysis was conducted to estimate the overall impact of the project on health (using disability adjusted life years or DALYs), as well as the potential cost savings that could be achieved for Component 1 “Strengthening health financing under UHC”.</w:t>
      </w:r>
      <w:r w:rsidR="00795EBF">
        <w:rPr>
          <w:rFonts w:ascii="Times New Roman" w:hAnsi="Times New Roman" w:cs="Times New Roman"/>
          <w:sz w:val="24"/>
          <w:szCs w:val="24"/>
        </w:rPr>
        <w:t xml:space="preserve"> The cost-benefits of the project </w:t>
      </w:r>
      <w:r w:rsidR="00B16108">
        <w:rPr>
          <w:rFonts w:ascii="Times New Roman" w:hAnsi="Times New Roman" w:cs="Times New Roman"/>
          <w:sz w:val="24"/>
          <w:szCs w:val="24"/>
        </w:rPr>
        <w:t>were</w:t>
      </w:r>
      <w:r w:rsidR="00795EBF">
        <w:rPr>
          <w:rFonts w:ascii="Times New Roman" w:hAnsi="Times New Roman" w:cs="Times New Roman"/>
          <w:sz w:val="24"/>
          <w:szCs w:val="24"/>
        </w:rPr>
        <w:t xml:space="preserve"> calculated for a 15-year period</w:t>
      </w:r>
      <w:r w:rsidR="00ED74F0">
        <w:rPr>
          <w:rFonts w:ascii="Times New Roman" w:hAnsi="Times New Roman" w:cs="Times New Roman"/>
          <w:sz w:val="24"/>
          <w:szCs w:val="24"/>
        </w:rPr>
        <w:t xml:space="preserve"> (2018-203</w:t>
      </w:r>
      <w:r w:rsidR="00795EBF">
        <w:rPr>
          <w:rFonts w:ascii="Times New Roman" w:hAnsi="Times New Roman" w:cs="Times New Roman"/>
          <w:sz w:val="24"/>
          <w:szCs w:val="24"/>
        </w:rPr>
        <w:t>2)</w:t>
      </w:r>
      <w:r w:rsidR="00C5304F">
        <w:rPr>
          <w:rFonts w:ascii="Times New Roman" w:hAnsi="Times New Roman" w:cs="Times New Roman"/>
          <w:sz w:val="24"/>
          <w:szCs w:val="24"/>
        </w:rPr>
        <w:t xml:space="preserve"> using three scenarios (baseline, low, and high).</w:t>
      </w:r>
    </w:p>
    <w:p w14:paraId="25283FE4" w14:textId="77777777" w:rsidR="00766191" w:rsidRDefault="00766191">
      <w:pPr>
        <w:rPr>
          <w:rFonts w:ascii="Times New Roman" w:hAnsi="Times New Roman" w:cs="Times New Roman"/>
          <w:sz w:val="24"/>
          <w:szCs w:val="24"/>
        </w:rPr>
      </w:pPr>
      <w:r>
        <w:rPr>
          <w:rFonts w:ascii="Times New Roman" w:hAnsi="Times New Roman" w:cs="Times New Roman"/>
          <w:sz w:val="24"/>
          <w:szCs w:val="24"/>
        </w:rPr>
        <w:t xml:space="preserve">The assumptions used in the cost-benefit analysis are listed below and summarized in </w:t>
      </w:r>
      <w:r w:rsidR="00B16108">
        <w:rPr>
          <w:rFonts w:ascii="Times New Roman" w:hAnsi="Times New Roman" w:cs="Times New Roman"/>
          <w:sz w:val="24"/>
          <w:szCs w:val="24"/>
        </w:rPr>
        <w:fldChar w:fldCharType="begin"/>
      </w:r>
      <w:r w:rsidR="00B16108">
        <w:rPr>
          <w:rFonts w:ascii="Times New Roman" w:hAnsi="Times New Roman" w:cs="Times New Roman"/>
          <w:sz w:val="24"/>
          <w:szCs w:val="24"/>
        </w:rPr>
        <w:instrText xml:space="preserve"> REF _Ref494381417 \h </w:instrText>
      </w:r>
      <w:r w:rsidR="00B16108">
        <w:rPr>
          <w:rFonts w:ascii="Times New Roman" w:hAnsi="Times New Roman" w:cs="Times New Roman"/>
          <w:sz w:val="24"/>
          <w:szCs w:val="24"/>
        </w:rPr>
      </w:r>
      <w:r w:rsidR="00B16108">
        <w:rPr>
          <w:rFonts w:ascii="Times New Roman" w:hAnsi="Times New Roman" w:cs="Times New Roman"/>
          <w:sz w:val="24"/>
          <w:szCs w:val="24"/>
        </w:rPr>
        <w:fldChar w:fldCharType="separate"/>
      </w:r>
      <w:r w:rsidR="00B16108">
        <w:t xml:space="preserve">Table </w:t>
      </w:r>
      <w:r w:rsidR="00B16108">
        <w:rPr>
          <w:noProof/>
        </w:rPr>
        <w:t>1</w:t>
      </w:r>
      <w:r w:rsidR="00B16108">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427C295" w14:textId="77777777" w:rsidR="00766191" w:rsidRPr="0063407B" w:rsidRDefault="00766191" w:rsidP="0063407B">
      <w:pPr>
        <w:pStyle w:val="ListParagraph"/>
        <w:numPr>
          <w:ilvl w:val="0"/>
          <w:numId w:val="3"/>
        </w:numPr>
        <w:rPr>
          <w:rFonts w:ascii="Times New Roman" w:hAnsi="Times New Roman" w:cs="Times New Roman"/>
          <w:sz w:val="24"/>
          <w:szCs w:val="24"/>
        </w:rPr>
      </w:pPr>
      <w:r w:rsidRPr="0063407B">
        <w:rPr>
          <w:rFonts w:ascii="Times New Roman" w:hAnsi="Times New Roman" w:cs="Times New Roman"/>
          <w:b/>
          <w:i/>
          <w:sz w:val="24"/>
          <w:szCs w:val="24"/>
        </w:rPr>
        <w:t>Basic discount rate</w:t>
      </w:r>
      <w:r w:rsidRPr="0063407B">
        <w:rPr>
          <w:rFonts w:ascii="Times New Roman" w:hAnsi="Times New Roman" w:cs="Times New Roman"/>
          <w:sz w:val="24"/>
          <w:szCs w:val="24"/>
        </w:rPr>
        <w:t>.</w:t>
      </w:r>
      <w:r w:rsidR="002D7193" w:rsidRPr="0063407B">
        <w:rPr>
          <w:rFonts w:ascii="Times New Roman" w:hAnsi="Times New Roman" w:cs="Times New Roman"/>
          <w:sz w:val="24"/>
          <w:szCs w:val="24"/>
        </w:rPr>
        <w:t xml:space="preserve"> Financial costs (project costs) and financial savings (from project interventions) were discounted at 4.5% to account for future inflation and the time value of money.</w:t>
      </w:r>
      <w:r w:rsidR="00C5304F" w:rsidRPr="0063407B">
        <w:rPr>
          <w:rFonts w:ascii="Times New Roman" w:hAnsi="Times New Roman" w:cs="Times New Roman"/>
          <w:sz w:val="24"/>
          <w:szCs w:val="24"/>
        </w:rPr>
        <w:t xml:space="preserve"> A higher discount rate of 6.5% </w:t>
      </w:r>
      <w:r w:rsidR="00F920AE" w:rsidRPr="0063407B">
        <w:rPr>
          <w:rFonts w:ascii="Times New Roman" w:hAnsi="Times New Roman" w:cs="Times New Roman"/>
          <w:sz w:val="24"/>
          <w:szCs w:val="24"/>
        </w:rPr>
        <w:t xml:space="preserve">was </w:t>
      </w:r>
      <w:r w:rsidR="00F10F6E" w:rsidRPr="0063407B">
        <w:rPr>
          <w:rFonts w:ascii="Times New Roman" w:hAnsi="Times New Roman" w:cs="Times New Roman"/>
          <w:sz w:val="24"/>
          <w:szCs w:val="24"/>
        </w:rPr>
        <w:t>used</w:t>
      </w:r>
      <w:r w:rsidR="00F920AE" w:rsidRPr="0063407B">
        <w:rPr>
          <w:rFonts w:ascii="Times New Roman" w:hAnsi="Times New Roman" w:cs="Times New Roman"/>
          <w:sz w:val="24"/>
          <w:szCs w:val="24"/>
        </w:rPr>
        <w:t xml:space="preserve"> </w:t>
      </w:r>
      <w:r w:rsidR="00F10F6E" w:rsidRPr="0063407B">
        <w:rPr>
          <w:rFonts w:ascii="Times New Roman" w:hAnsi="Times New Roman" w:cs="Times New Roman"/>
          <w:sz w:val="24"/>
          <w:szCs w:val="24"/>
        </w:rPr>
        <w:t>in</w:t>
      </w:r>
      <w:r w:rsidR="00F920AE" w:rsidRPr="0063407B">
        <w:rPr>
          <w:rFonts w:ascii="Times New Roman" w:hAnsi="Times New Roman" w:cs="Times New Roman"/>
          <w:sz w:val="24"/>
          <w:szCs w:val="24"/>
        </w:rPr>
        <w:t xml:space="preserve"> the high scenario.</w:t>
      </w:r>
      <w:r w:rsidR="00C5304F" w:rsidRPr="0063407B">
        <w:rPr>
          <w:rFonts w:ascii="Times New Roman" w:hAnsi="Times New Roman" w:cs="Times New Roman"/>
          <w:sz w:val="24"/>
          <w:szCs w:val="24"/>
        </w:rPr>
        <w:t xml:space="preserve"> </w:t>
      </w:r>
    </w:p>
    <w:p w14:paraId="54607CCF" w14:textId="0A136185" w:rsidR="00F920AE" w:rsidRPr="0063407B" w:rsidRDefault="00F920AE" w:rsidP="0063407B">
      <w:pPr>
        <w:pStyle w:val="ListParagraph"/>
        <w:numPr>
          <w:ilvl w:val="0"/>
          <w:numId w:val="3"/>
        </w:numPr>
        <w:rPr>
          <w:rFonts w:ascii="Times New Roman" w:hAnsi="Times New Roman" w:cs="Times New Roman"/>
          <w:sz w:val="24"/>
          <w:szCs w:val="24"/>
        </w:rPr>
      </w:pPr>
      <w:r w:rsidRPr="0063407B">
        <w:rPr>
          <w:rFonts w:ascii="Times New Roman" w:hAnsi="Times New Roman" w:cs="Times New Roman"/>
          <w:b/>
          <w:i/>
          <w:sz w:val="24"/>
          <w:szCs w:val="24"/>
        </w:rPr>
        <w:t>Health benefits</w:t>
      </w:r>
      <w:r w:rsidRPr="0063407B">
        <w:rPr>
          <w:rFonts w:ascii="Times New Roman" w:hAnsi="Times New Roman" w:cs="Times New Roman"/>
          <w:sz w:val="24"/>
          <w:szCs w:val="24"/>
        </w:rPr>
        <w:t>. The health benefits were calculated based on</w:t>
      </w:r>
      <w:r w:rsidR="00201856" w:rsidRPr="0063407B">
        <w:rPr>
          <w:rFonts w:ascii="Times New Roman" w:hAnsi="Times New Roman" w:cs="Times New Roman"/>
          <w:sz w:val="24"/>
          <w:szCs w:val="24"/>
        </w:rPr>
        <w:t xml:space="preserve"> the</w:t>
      </w:r>
      <w:r w:rsidRPr="0063407B">
        <w:rPr>
          <w:rFonts w:ascii="Times New Roman" w:hAnsi="Times New Roman" w:cs="Times New Roman"/>
          <w:sz w:val="24"/>
          <w:szCs w:val="24"/>
        </w:rPr>
        <w:t xml:space="preserve"> potential reductions in disability adjusted life years (DALYs).</w:t>
      </w:r>
      <w:r w:rsidR="00ED74F0" w:rsidRPr="0063407B">
        <w:rPr>
          <w:rFonts w:ascii="Times New Roman" w:hAnsi="Times New Roman" w:cs="Times New Roman"/>
          <w:sz w:val="24"/>
          <w:szCs w:val="24"/>
        </w:rPr>
        <w:t xml:space="preserve"> </w:t>
      </w:r>
      <w:r w:rsidR="00ED74F0" w:rsidRPr="0063407B">
        <w:rPr>
          <w:rFonts w:ascii="Times New Roman" w:hAnsi="Times New Roman" w:cs="Times New Roman"/>
          <w:sz w:val="24"/>
          <w:szCs w:val="24"/>
        </w:rPr>
        <w:t xml:space="preserve">DALYs </w:t>
      </w:r>
      <w:r w:rsidR="00ED74F0" w:rsidRPr="0063407B">
        <w:rPr>
          <w:rFonts w:ascii="Times New Roman" w:hAnsi="Times New Roman" w:cs="Times New Roman"/>
          <w:sz w:val="24"/>
          <w:szCs w:val="24"/>
        </w:rPr>
        <w:t xml:space="preserve">for Georgia </w:t>
      </w:r>
      <w:r w:rsidR="00ED74F0" w:rsidRPr="0063407B">
        <w:rPr>
          <w:rFonts w:ascii="Times New Roman" w:hAnsi="Times New Roman" w:cs="Times New Roman"/>
          <w:sz w:val="24"/>
          <w:szCs w:val="24"/>
        </w:rPr>
        <w:t>were obtained from the Institute for Health Metrics and Evaluation Global Burden of Disease Study for 2016 and were projected</w:t>
      </w:r>
      <w:r w:rsidR="00ED74F0" w:rsidRPr="0063407B">
        <w:rPr>
          <w:rFonts w:ascii="Times New Roman" w:hAnsi="Times New Roman" w:cs="Times New Roman"/>
          <w:sz w:val="24"/>
          <w:szCs w:val="24"/>
        </w:rPr>
        <w:t xml:space="preserve"> until 2032</w:t>
      </w:r>
      <w:r w:rsidR="00ED74F0" w:rsidRPr="0063407B">
        <w:rPr>
          <w:rFonts w:ascii="Times New Roman" w:hAnsi="Times New Roman" w:cs="Times New Roman"/>
          <w:sz w:val="24"/>
          <w:szCs w:val="24"/>
        </w:rPr>
        <w:t xml:space="preserve"> based on historical trends between 2006 and 2016. </w:t>
      </w:r>
      <w:r w:rsidR="003E4E1F" w:rsidRPr="0063407B">
        <w:rPr>
          <w:rFonts w:ascii="Times New Roman" w:hAnsi="Times New Roman" w:cs="Times New Roman"/>
          <w:sz w:val="24"/>
          <w:szCs w:val="24"/>
        </w:rPr>
        <w:t>Given that the project focuses on strengthening primary care (component 2),</w:t>
      </w:r>
      <w:r w:rsidR="00201856" w:rsidRPr="0063407B">
        <w:rPr>
          <w:rFonts w:ascii="Times New Roman" w:hAnsi="Times New Roman" w:cs="Times New Roman"/>
          <w:sz w:val="24"/>
          <w:szCs w:val="24"/>
        </w:rPr>
        <w:t xml:space="preserve"> </w:t>
      </w:r>
      <w:r w:rsidR="0086005B" w:rsidRPr="0063407B">
        <w:rPr>
          <w:rFonts w:ascii="Times New Roman" w:hAnsi="Times New Roman" w:cs="Times New Roman"/>
          <w:sz w:val="24"/>
          <w:szCs w:val="24"/>
        </w:rPr>
        <w:t>we only included</w:t>
      </w:r>
      <w:r w:rsidR="00201856" w:rsidRPr="0063407B">
        <w:rPr>
          <w:rFonts w:ascii="Times New Roman" w:hAnsi="Times New Roman" w:cs="Times New Roman"/>
          <w:sz w:val="24"/>
          <w:szCs w:val="24"/>
        </w:rPr>
        <w:t xml:space="preserve"> DALYs caused by non-communicable diseases (NCDs) in the analysis.</w:t>
      </w:r>
      <w:r w:rsidR="004B79FA" w:rsidRPr="0063407B">
        <w:rPr>
          <w:rFonts w:ascii="Times New Roman" w:hAnsi="Times New Roman" w:cs="Times New Roman"/>
          <w:sz w:val="24"/>
          <w:szCs w:val="24"/>
        </w:rPr>
        <w:t xml:space="preserve"> We assumed that</w:t>
      </w:r>
      <w:r w:rsidR="004E58FB" w:rsidRPr="0063407B">
        <w:rPr>
          <w:rFonts w:ascii="Times New Roman" w:hAnsi="Times New Roman" w:cs="Times New Roman"/>
          <w:sz w:val="24"/>
          <w:szCs w:val="24"/>
        </w:rPr>
        <w:t xml:space="preserve"> the project would affect dis</w:t>
      </w:r>
      <w:r w:rsidR="0086005B" w:rsidRPr="0063407B">
        <w:rPr>
          <w:rFonts w:ascii="Times New Roman" w:hAnsi="Times New Roman" w:cs="Times New Roman"/>
          <w:sz w:val="24"/>
          <w:szCs w:val="24"/>
        </w:rPr>
        <w:t>eases</w:t>
      </w:r>
      <w:r w:rsidR="004E58FB" w:rsidRPr="0063407B">
        <w:rPr>
          <w:rFonts w:ascii="Times New Roman" w:hAnsi="Times New Roman" w:cs="Times New Roman"/>
          <w:sz w:val="24"/>
          <w:szCs w:val="24"/>
        </w:rPr>
        <w:t xml:space="preserve"> responsible for approximately 50% of DALYs in Georgia.</w:t>
      </w:r>
      <w:r w:rsidR="004B79FA" w:rsidRPr="0063407B">
        <w:rPr>
          <w:rFonts w:ascii="Times New Roman" w:hAnsi="Times New Roman" w:cs="Times New Roman"/>
          <w:sz w:val="24"/>
          <w:szCs w:val="24"/>
        </w:rPr>
        <w:t xml:space="preserve"> </w:t>
      </w:r>
      <w:r w:rsidR="003E4E1F" w:rsidRPr="0063407B">
        <w:rPr>
          <w:rFonts w:ascii="Times New Roman" w:hAnsi="Times New Roman" w:cs="Times New Roman"/>
          <w:sz w:val="24"/>
          <w:szCs w:val="24"/>
        </w:rPr>
        <w:t xml:space="preserve">The </w:t>
      </w:r>
      <w:r w:rsidR="006F0BAA" w:rsidRPr="0063407B">
        <w:rPr>
          <w:rFonts w:ascii="Times New Roman" w:hAnsi="Times New Roman" w:cs="Times New Roman"/>
          <w:sz w:val="24"/>
          <w:szCs w:val="24"/>
        </w:rPr>
        <w:t xml:space="preserve">maximum </w:t>
      </w:r>
      <w:r w:rsidR="003E4E1F" w:rsidRPr="0063407B">
        <w:rPr>
          <w:rFonts w:ascii="Times New Roman" w:hAnsi="Times New Roman" w:cs="Times New Roman"/>
          <w:sz w:val="24"/>
          <w:szCs w:val="24"/>
        </w:rPr>
        <w:t>reduction in DALYs attributable to the strengthening of the primary care services was set at 0.1%</w:t>
      </w:r>
      <w:r w:rsidR="006F0BAA" w:rsidRPr="0063407B">
        <w:rPr>
          <w:rFonts w:ascii="Times New Roman" w:hAnsi="Times New Roman" w:cs="Times New Roman"/>
          <w:sz w:val="24"/>
          <w:szCs w:val="24"/>
        </w:rPr>
        <w:t xml:space="preserve"> (0 in the first year and d</w:t>
      </w:r>
      <w:r w:rsidR="00FC234D" w:rsidRPr="0063407B">
        <w:rPr>
          <w:rFonts w:ascii="Times New Roman" w:hAnsi="Times New Roman" w:cs="Times New Roman"/>
          <w:sz w:val="24"/>
          <w:szCs w:val="24"/>
        </w:rPr>
        <w:t xml:space="preserve">ecreasing </w:t>
      </w:r>
      <w:r w:rsidR="0086005B" w:rsidRPr="0063407B">
        <w:rPr>
          <w:rFonts w:ascii="Times New Roman" w:hAnsi="Times New Roman" w:cs="Times New Roman"/>
          <w:sz w:val="24"/>
          <w:szCs w:val="24"/>
        </w:rPr>
        <w:t>returns</w:t>
      </w:r>
      <w:r w:rsidR="00FC234D" w:rsidRPr="0063407B">
        <w:rPr>
          <w:rFonts w:ascii="Times New Roman" w:hAnsi="Times New Roman" w:cs="Times New Roman"/>
          <w:sz w:val="24"/>
          <w:szCs w:val="24"/>
        </w:rPr>
        <w:t xml:space="preserve"> after 2025</w:t>
      </w:r>
      <w:r w:rsidR="0086005B" w:rsidRPr="0063407B">
        <w:rPr>
          <w:rFonts w:ascii="Times New Roman" w:hAnsi="Times New Roman" w:cs="Times New Roman"/>
          <w:sz w:val="24"/>
          <w:szCs w:val="24"/>
        </w:rPr>
        <w:t>)</w:t>
      </w:r>
      <w:r w:rsidR="006F0BAA" w:rsidRPr="0063407B">
        <w:rPr>
          <w:rFonts w:ascii="Times New Roman" w:hAnsi="Times New Roman" w:cs="Times New Roman"/>
          <w:sz w:val="24"/>
          <w:szCs w:val="24"/>
        </w:rPr>
        <w:t xml:space="preserve">. </w:t>
      </w:r>
      <w:r w:rsidR="008E53AF" w:rsidRPr="0063407B">
        <w:rPr>
          <w:rFonts w:ascii="Times New Roman" w:hAnsi="Times New Roman" w:cs="Times New Roman"/>
          <w:sz w:val="24"/>
          <w:szCs w:val="24"/>
        </w:rPr>
        <w:t>In addition, we assumed that improvement</w:t>
      </w:r>
      <w:r w:rsidR="00DA388E" w:rsidRPr="0063407B">
        <w:rPr>
          <w:rFonts w:ascii="Times New Roman" w:hAnsi="Times New Roman" w:cs="Times New Roman"/>
          <w:sz w:val="24"/>
          <w:szCs w:val="24"/>
        </w:rPr>
        <w:t>s</w:t>
      </w:r>
      <w:r w:rsidR="008E53AF" w:rsidRPr="0063407B">
        <w:rPr>
          <w:rFonts w:ascii="Times New Roman" w:hAnsi="Times New Roman" w:cs="Times New Roman"/>
          <w:sz w:val="24"/>
          <w:szCs w:val="24"/>
        </w:rPr>
        <w:t xml:space="preserve"> in</w:t>
      </w:r>
      <w:r w:rsidR="00DA388E" w:rsidRPr="0063407B">
        <w:rPr>
          <w:rFonts w:ascii="Times New Roman" w:hAnsi="Times New Roman" w:cs="Times New Roman"/>
          <w:sz w:val="24"/>
          <w:szCs w:val="24"/>
        </w:rPr>
        <w:t xml:space="preserve"> the</w:t>
      </w:r>
      <w:r w:rsidR="008E53AF" w:rsidRPr="0063407B">
        <w:rPr>
          <w:rFonts w:ascii="Times New Roman" w:hAnsi="Times New Roman" w:cs="Times New Roman"/>
          <w:sz w:val="24"/>
          <w:szCs w:val="24"/>
        </w:rPr>
        <w:t xml:space="preserve"> quality of care would result in a</w:t>
      </w:r>
      <w:r w:rsidR="00DA388E" w:rsidRPr="0063407B">
        <w:rPr>
          <w:rFonts w:ascii="Times New Roman" w:hAnsi="Times New Roman" w:cs="Times New Roman"/>
          <w:sz w:val="24"/>
          <w:szCs w:val="24"/>
        </w:rPr>
        <w:t>t most a</w:t>
      </w:r>
      <w:r w:rsidR="008E53AF" w:rsidRPr="0063407B">
        <w:rPr>
          <w:rFonts w:ascii="Times New Roman" w:hAnsi="Times New Roman" w:cs="Times New Roman"/>
          <w:sz w:val="24"/>
          <w:szCs w:val="24"/>
        </w:rPr>
        <w:t xml:space="preserve"> 0.05% in DALYs related to NCDs</w:t>
      </w:r>
      <w:r w:rsidR="00B16108" w:rsidRPr="0063407B">
        <w:rPr>
          <w:rFonts w:ascii="Times New Roman" w:hAnsi="Times New Roman" w:cs="Times New Roman"/>
          <w:sz w:val="24"/>
          <w:szCs w:val="24"/>
        </w:rPr>
        <w:t xml:space="preserve"> (</w:t>
      </w:r>
      <w:r w:rsidR="00B16108" w:rsidRPr="0063407B">
        <w:rPr>
          <w:rFonts w:ascii="Times New Roman" w:hAnsi="Times New Roman" w:cs="Times New Roman"/>
          <w:sz w:val="24"/>
          <w:szCs w:val="24"/>
        </w:rPr>
        <w:t>reduction</w:t>
      </w:r>
      <w:r w:rsidR="00882B6B">
        <w:rPr>
          <w:rFonts w:ascii="Times New Roman" w:hAnsi="Times New Roman" w:cs="Times New Roman"/>
          <w:sz w:val="24"/>
          <w:szCs w:val="24"/>
        </w:rPr>
        <w:t xml:space="preserve"> of </w:t>
      </w:r>
      <w:r w:rsidR="00B16108" w:rsidRPr="0063407B">
        <w:rPr>
          <w:rFonts w:ascii="Times New Roman" w:hAnsi="Times New Roman" w:cs="Times New Roman"/>
          <w:sz w:val="24"/>
          <w:szCs w:val="24"/>
        </w:rPr>
        <w:t>0 in the first year and decreasing returns after 2025)</w:t>
      </w:r>
      <w:r w:rsidR="008E53AF" w:rsidRPr="0063407B">
        <w:rPr>
          <w:rFonts w:ascii="Times New Roman" w:hAnsi="Times New Roman" w:cs="Times New Roman"/>
          <w:sz w:val="24"/>
          <w:szCs w:val="24"/>
        </w:rPr>
        <w:t xml:space="preserve">. </w:t>
      </w:r>
    </w:p>
    <w:p w14:paraId="14A0F143" w14:textId="77777777" w:rsidR="00201856" w:rsidRPr="0063407B" w:rsidRDefault="00201856" w:rsidP="0063407B">
      <w:pPr>
        <w:pStyle w:val="ListParagraph"/>
        <w:numPr>
          <w:ilvl w:val="0"/>
          <w:numId w:val="3"/>
        </w:numPr>
        <w:rPr>
          <w:rFonts w:ascii="Times New Roman" w:hAnsi="Times New Roman" w:cs="Times New Roman"/>
          <w:sz w:val="24"/>
          <w:szCs w:val="24"/>
        </w:rPr>
      </w:pPr>
      <w:r w:rsidRPr="0063407B">
        <w:rPr>
          <w:rFonts w:ascii="Times New Roman" w:hAnsi="Times New Roman" w:cs="Times New Roman"/>
          <w:b/>
          <w:i/>
          <w:sz w:val="24"/>
          <w:szCs w:val="24"/>
        </w:rPr>
        <w:lastRenderedPageBreak/>
        <w:t xml:space="preserve">Monetary </w:t>
      </w:r>
      <w:r w:rsidR="00FC234D" w:rsidRPr="0063407B">
        <w:rPr>
          <w:rFonts w:ascii="Times New Roman" w:hAnsi="Times New Roman" w:cs="Times New Roman"/>
          <w:b/>
          <w:i/>
          <w:sz w:val="24"/>
          <w:szCs w:val="24"/>
        </w:rPr>
        <w:t>value</w:t>
      </w:r>
      <w:r w:rsidRPr="0063407B">
        <w:rPr>
          <w:rFonts w:ascii="Times New Roman" w:hAnsi="Times New Roman" w:cs="Times New Roman"/>
          <w:b/>
          <w:i/>
          <w:sz w:val="24"/>
          <w:szCs w:val="24"/>
        </w:rPr>
        <w:t xml:space="preserve"> of health benefits.</w:t>
      </w:r>
      <w:r w:rsidR="000571B9" w:rsidRPr="0063407B">
        <w:rPr>
          <w:rFonts w:ascii="Times New Roman" w:hAnsi="Times New Roman" w:cs="Times New Roman"/>
          <w:b/>
          <w:i/>
          <w:sz w:val="24"/>
          <w:szCs w:val="24"/>
        </w:rPr>
        <w:t xml:space="preserve"> </w:t>
      </w:r>
      <w:r w:rsidR="000571B9" w:rsidRPr="0063407B">
        <w:rPr>
          <w:rFonts w:ascii="Times New Roman" w:hAnsi="Times New Roman" w:cs="Times New Roman"/>
          <w:sz w:val="24"/>
          <w:szCs w:val="24"/>
        </w:rPr>
        <w:t>In the baseline and low scenarios, each DALY was valued at GDP per capita ($4021 in 2018). In the high scenario, we assigned each DALY a value of three times per capita GDP as commonly used in the benefit cost analysis literat</w:t>
      </w:r>
      <w:r w:rsidR="00B16108" w:rsidRPr="0063407B">
        <w:rPr>
          <w:rFonts w:ascii="Times New Roman" w:hAnsi="Times New Roman" w:cs="Times New Roman"/>
          <w:sz w:val="24"/>
          <w:szCs w:val="24"/>
        </w:rPr>
        <w:t>ure (Disease Control Priorities;</w:t>
      </w:r>
      <w:r w:rsidR="000571B9" w:rsidRPr="0063407B">
        <w:rPr>
          <w:rFonts w:ascii="Times New Roman" w:hAnsi="Times New Roman" w:cs="Times New Roman"/>
          <w:sz w:val="24"/>
          <w:szCs w:val="24"/>
        </w:rPr>
        <w:t xml:space="preserve"> Copenhagen Consensus).</w:t>
      </w:r>
    </w:p>
    <w:p w14:paraId="7D544591" w14:textId="77777777" w:rsidR="00766191" w:rsidRPr="0063407B" w:rsidRDefault="00766191" w:rsidP="0063407B">
      <w:pPr>
        <w:pStyle w:val="ListParagraph"/>
        <w:numPr>
          <w:ilvl w:val="0"/>
          <w:numId w:val="3"/>
        </w:numPr>
        <w:rPr>
          <w:rFonts w:ascii="Times New Roman" w:hAnsi="Times New Roman" w:cs="Times New Roman"/>
          <w:sz w:val="24"/>
          <w:szCs w:val="24"/>
        </w:rPr>
      </w:pPr>
      <w:r w:rsidRPr="0063407B">
        <w:rPr>
          <w:rFonts w:ascii="Times New Roman" w:hAnsi="Times New Roman" w:cs="Times New Roman"/>
          <w:b/>
          <w:i/>
          <w:sz w:val="24"/>
          <w:szCs w:val="24"/>
        </w:rPr>
        <w:t xml:space="preserve">Discount rate of the monetary value of future health benefits. </w:t>
      </w:r>
      <w:r w:rsidR="006E4F5B" w:rsidRPr="0063407B">
        <w:rPr>
          <w:rFonts w:ascii="Times New Roman" w:hAnsi="Times New Roman" w:cs="Times New Roman"/>
          <w:sz w:val="24"/>
          <w:szCs w:val="24"/>
        </w:rPr>
        <w:t xml:space="preserve">The monetary value of the future stream of health benefits (annual DALYs averted) is discounted at 3% based on the recommendations outlined by the WHO and the Disease Control Priorities Project. In the low scenario, the discount rate is </w:t>
      </w:r>
      <w:r w:rsidR="00AF169C" w:rsidRPr="0063407B">
        <w:rPr>
          <w:rFonts w:ascii="Times New Roman" w:hAnsi="Times New Roman" w:cs="Times New Roman"/>
          <w:sz w:val="24"/>
          <w:szCs w:val="24"/>
        </w:rPr>
        <w:t>set at 5%.</w:t>
      </w:r>
    </w:p>
    <w:p w14:paraId="24FDCEA7" w14:textId="77777777" w:rsidR="00055C6C" w:rsidRPr="0063407B" w:rsidRDefault="00E022F8" w:rsidP="0063407B">
      <w:pPr>
        <w:pStyle w:val="ListParagraph"/>
        <w:numPr>
          <w:ilvl w:val="0"/>
          <w:numId w:val="3"/>
        </w:numPr>
        <w:rPr>
          <w:rFonts w:ascii="Times New Roman" w:hAnsi="Times New Roman" w:cs="Times New Roman"/>
          <w:sz w:val="24"/>
          <w:szCs w:val="24"/>
        </w:rPr>
      </w:pPr>
      <w:r w:rsidRPr="0063407B">
        <w:rPr>
          <w:rFonts w:ascii="Times New Roman" w:hAnsi="Times New Roman" w:cs="Times New Roman"/>
          <w:b/>
          <w:i/>
          <w:sz w:val="24"/>
          <w:szCs w:val="24"/>
        </w:rPr>
        <w:t>Cost savings related to pharmaceutical policy and pricing strategy (component 1).</w:t>
      </w:r>
      <w:r w:rsidR="003B59AF" w:rsidRPr="0063407B">
        <w:rPr>
          <w:rFonts w:ascii="Times New Roman" w:hAnsi="Times New Roman" w:cs="Times New Roman"/>
          <w:b/>
          <w:i/>
          <w:sz w:val="24"/>
          <w:szCs w:val="24"/>
        </w:rPr>
        <w:t xml:space="preserve"> </w:t>
      </w:r>
      <w:r w:rsidR="0053380B" w:rsidRPr="0063407B">
        <w:rPr>
          <w:rFonts w:ascii="Times New Roman" w:hAnsi="Times New Roman" w:cs="Times New Roman"/>
          <w:sz w:val="24"/>
          <w:szCs w:val="24"/>
        </w:rPr>
        <w:t xml:space="preserve">Strengthening the strategic purchasing capacity of the SSA is assumed to result in a 5% reduction </w:t>
      </w:r>
      <w:r w:rsidR="00212A40" w:rsidRPr="0063407B">
        <w:rPr>
          <w:rFonts w:ascii="Times New Roman" w:hAnsi="Times New Roman" w:cs="Times New Roman"/>
          <w:sz w:val="24"/>
          <w:szCs w:val="24"/>
        </w:rPr>
        <w:t>in government spending on pharmaceuticals (beginning in 2021).</w:t>
      </w:r>
    </w:p>
    <w:p w14:paraId="37EDA3A0" w14:textId="77777777" w:rsidR="00215342" w:rsidRPr="0063407B" w:rsidRDefault="00E022F8" w:rsidP="0063407B">
      <w:pPr>
        <w:pStyle w:val="ListParagraph"/>
        <w:numPr>
          <w:ilvl w:val="0"/>
          <w:numId w:val="3"/>
        </w:numPr>
        <w:rPr>
          <w:rFonts w:ascii="Times New Roman" w:hAnsi="Times New Roman" w:cs="Times New Roman"/>
          <w:sz w:val="24"/>
          <w:szCs w:val="24"/>
        </w:rPr>
      </w:pPr>
      <w:r w:rsidRPr="0063407B">
        <w:rPr>
          <w:rFonts w:ascii="Times New Roman" w:hAnsi="Times New Roman" w:cs="Times New Roman"/>
          <w:b/>
          <w:i/>
          <w:sz w:val="24"/>
          <w:szCs w:val="24"/>
        </w:rPr>
        <w:t>Cost savings related to DRGs (component 1).</w:t>
      </w:r>
      <w:r w:rsidR="003B59AF" w:rsidRPr="0063407B">
        <w:rPr>
          <w:rFonts w:ascii="Times New Roman" w:hAnsi="Times New Roman" w:cs="Times New Roman"/>
          <w:b/>
          <w:i/>
          <w:sz w:val="24"/>
          <w:szCs w:val="24"/>
        </w:rPr>
        <w:t xml:space="preserve"> </w:t>
      </w:r>
      <w:r w:rsidR="003B59AF" w:rsidRPr="0063407B">
        <w:rPr>
          <w:rFonts w:ascii="Times New Roman" w:hAnsi="Times New Roman" w:cs="Times New Roman"/>
          <w:sz w:val="24"/>
          <w:szCs w:val="24"/>
        </w:rPr>
        <w:t xml:space="preserve">The adoption of DRGs is expected to contain future expenditure growth in government health spending on hospitals by 0.4% </w:t>
      </w:r>
      <w:r w:rsidR="0053380B" w:rsidRPr="0063407B">
        <w:rPr>
          <w:rFonts w:ascii="Times New Roman" w:hAnsi="Times New Roman" w:cs="Times New Roman"/>
          <w:sz w:val="24"/>
          <w:szCs w:val="24"/>
        </w:rPr>
        <w:t>(</w:t>
      </w:r>
      <w:r w:rsidR="003B59AF" w:rsidRPr="0063407B">
        <w:rPr>
          <w:rFonts w:ascii="Times New Roman" w:hAnsi="Times New Roman" w:cs="Times New Roman"/>
          <w:sz w:val="24"/>
          <w:szCs w:val="24"/>
        </w:rPr>
        <w:t>baseline scenario</w:t>
      </w:r>
      <w:r w:rsidR="0053380B" w:rsidRPr="0063407B">
        <w:rPr>
          <w:rFonts w:ascii="Times New Roman" w:hAnsi="Times New Roman" w:cs="Times New Roman"/>
          <w:sz w:val="24"/>
          <w:szCs w:val="24"/>
        </w:rPr>
        <w:t>)</w:t>
      </w:r>
      <w:r w:rsidR="00212A40" w:rsidRPr="0063407B">
        <w:rPr>
          <w:rFonts w:ascii="Times New Roman" w:hAnsi="Times New Roman" w:cs="Times New Roman"/>
          <w:sz w:val="24"/>
          <w:szCs w:val="24"/>
        </w:rPr>
        <w:t xml:space="preserve"> </w:t>
      </w:r>
      <w:r w:rsidR="00B16108" w:rsidRPr="0063407B">
        <w:rPr>
          <w:rFonts w:ascii="Times New Roman" w:hAnsi="Times New Roman" w:cs="Times New Roman"/>
          <w:sz w:val="24"/>
          <w:szCs w:val="24"/>
        </w:rPr>
        <w:t>starting</w:t>
      </w:r>
      <w:r w:rsidR="00212A40" w:rsidRPr="0063407B">
        <w:rPr>
          <w:rFonts w:ascii="Times New Roman" w:hAnsi="Times New Roman" w:cs="Times New Roman"/>
          <w:sz w:val="24"/>
          <w:szCs w:val="24"/>
        </w:rPr>
        <w:t xml:space="preserve"> upon the completion of the project (2022)</w:t>
      </w:r>
      <w:r w:rsidR="003B59AF" w:rsidRPr="0063407B">
        <w:rPr>
          <w:rFonts w:ascii="Times New Roman" w:hAnsi="Times New Roman" w:cs="Times New Roman"/>
          <w:sz w:val="24"/>
          <w:szCs w:val="24"/>
        </w:rPr>
        <w:t xml:space="preserve">. </w:t>
      </w:r>
    </w:p>
    <w:p w14:paraId="32AB0B7D" w14:textId="77777777" w:rsidR="00430C2C" w:rsidRPr="00B363BE" w:rsidRDefault="00430C2C" w:rsidP="0008533A">
      <w:pPr>
        <w:rPr>
          <w:rFonts w:ascii="Times New Roman" w:hAnsi="Times New Roman" w:cs="Times New Roman"/>
          <w:sz w:val="24"/>
          <w:szCs w:val="24"/>
        </w:rPr>
      </w:pPr>
    </w:p>
    <w:p w14:paraId="66E4967F" w14:textId="77777777" w:rsidR="00766191" w:rsidRDefault="00766191" w:rsidP="00766191">
      <w:pPr>
        <w:pStyle w:val="Caption"/>
        <w:keepNext/>
      </w:pPr>
      <w:bookmarkStart w:id="0" w:name="_Ref494381417"/>
      <w:r>
        <w:t xml:space="preserve">Table </w:t>
      </w:r>
      <w:fldSimple w:instr=" SEQ Table \* ARABIC ">
        <w:r w:rsidR="002722E7">
          <w:rPr>
            <w:noProof/>
          </w:rPr>
          <w:t>1</w:t>
        </w:r>
      </w:fldSimple>
      <w:bookmarkEnd w:id="0"/>
      <w:r>
        <w:t>. Key inputs and assumptions used for the cost-benefit analysis</w:t>
      </w:r>
    </w:p>
    <w:tbl>
      <w:tblPr>
        <w:tblStyle w:val="TableGrid"/>
        <w:tblW w:w="0" w:type="auto"/>
        <w:tblLook w:val="04A0" w:firstRow="1" w:lastRow="0" w:firstColumn="1" w:lastColumn="0" w:noHBand="0" w:noVBand="1"/>
      </w:tblPr>
      <w:tblGrid>
        <w:gridCol w:w="2660"/>
        <w:gridCol w:w="2712"/>
        <w:gridCol w:w="2195"/>
        <w:gridCol w:w="1783"/>
      </w:tblGrid>
      <w:tr w:rsidR="00776A7D" w:rsidRPr="00430C2C" w14:paraId="07705405" w14:textId="77777777" w:rsidTr="0070392A">
        <w:tc>
          <w:tcPr>
            <w:tcW w:w="2660" w:type="dxa"/>
            <w:vMerge w:val="restart"/>
          </w:tcPr>
          <w:p w14:paraId="6A6E690A" w14:textId="77777777" w:rsidR="00776A7D" w:rsidRPr="00430C2C" w:rsidRDefault="00776A7D">
            <w:pPr>
              <w:rPr>
                <w:rFonts w:ascii="Times New Roman" w:hAnsi="Times New Roman" w:cs="Times New Roman"/>
                <w:b/>
                <w:sz w:val="20"/>
                <w:szCs w:val="20"/>
              </w:rPr>
            </w:pPr>
            <w:r w:rsidRPr="00430C2C">
              <w:rPr>
                <w:rFonts w:ascii="Times New Roman" w:hAnsi="Times New Roman" w:cs="Times New Roman"/>
                <w:b/>
                <w:sz w:val="20"/>
                <w:szCs w:val="20"/>
              </w:rPr>
              <w:t>Key Inputs</w:t>
            </w:r>
          </w:p>
        </w:tc>
        <w:tc>
          <w:tcPr>
            <w:tcW w:w="2712" w:type="dxa"/>
            <w:vMerge w:val="restart"/>
          </w:tcPr>
          <w:p w14:paraId="28C09BD8" w14:textId="77777777" w:rsidR="00776A7D" w:rsidRPr="00430C2C" w:rsidRDefault="00776A7D" w:rsidP="00A904B0">
            <w:pPr>
              <w:jc w:val="center"/>
              <w:rPr>
                <w:rFonts w:ascii="Times New Roman" w:hAnsi="Times New Roman" w:cs="Times New Roman"/>
                <w:b/>
                <w:sz w:val="20"/>
                <w:szCs w:val="20"/>
              </w:rPr>
            </w:pPr>
            <w:r w:rsidRPr="00430C2C">
              <w:rPr>
                <w:rFonts w:ascii="Times New Roman" w:hAnsi="Times New Roman" w:cs="Times New Roman"/>
                <w:b/>
                <w:sz w:val="20"/>
                <w:szCs w:val="20"/>
              </w:rPr>
              <w:t>Baseline Scenario Assumptions</w:t>
            </w:r>
          </w:p>
        </w:tc>
        <w:tc>
          <w:tcPr>
            <w:tcW w:w="3978" w:type="dxa"/>
            <w:gridSpan w:val="2"/>
          </w:tcPr>
          <w:p w14:paraId="002786F0" w14:textId="77777777" w:rsidR="00776A7D" w:rsidRPr="00430C2C" w:rsidRDefault="00776A7D" w:rsidP="00A904B0">
            <w:pPr>
              <w:jc w:val="center"/>
              <w:rPr>
                <w:rFonts w:ascii="Times New Roman" w:hAnsi="Times New Roman" w:cs="Times New Roman"/>
                <w:b/>
                <w:sz w:val="20"/>
                <w:szCs w:val="20"/>
              </w:rPr>
            </w:pPr>
            <w:r w:rsidRPr="00430C2C">
              <w:rPr>
                <w:rFonts w:ascii="Times New Roman" w:hAnsi="Times New Roman" w:cs="Times New Roman"/>
                <w:b/>
                <w:sz w:val="20"/>
                <w:szCs w:val="20"/>
              </w:rPr>
              <w:t>Sensitivity Analysis</w:t>
            </w:r>
          </w:p>
        </w:tc>
      </w:tr>
      <w:tr w:rsidR="00776A7D" w:rsidRPr="00430C2C" w14:paraId="14014D48" w14:textId="77777777" w:rsidTr="00776A7D">
        <w:tc>
          <w:tcPr>
            <w:tcW w:w="2660" w:type="dxa"/>
            <w:vMerge/>
          </w:tcPr>
          <w:p w14:paraId="7B540B72" w14:textId="77777777" w:rsidR="00776A7D" w:rsidRPr="00430C2C" w:rsidRDefault="00776A7D">
            <w:pPr>
              <w:rPr>
                <w:rFonts w:ascii="Times New Roman" w:hAnsi="Times New Roman" w:cs="Times New Roman"/>
                <w:b/>
                <w:sz w:val="20"/>
                <w:szCs w:val="20"/>
              </w:rPr>
            </w:pPr>
          </w:p>
        </w:tc>
        <w:tc>
          <w:tcPr>
            <w:tcW w:w="2712" w:type="dxa"/>
            <w:vMerge/>
          </w:tcPr>
          <w:p w14:paraId="62481581" w14:textId="77777777" w:rsidR="00776A7D" w:rsidRPr="00430C2C" w:rsidRDefault="00776A7D" w:rsidP="00A904B0">
            <w:pPr>
              <w:jc w:val="center"/>
              <w:rPr>
                <w:rFonts w:ascii="Times New Roman" w:hAnsi="Times New Roman" w:cs="Times New Roman"/>
                <w:b/>
                <w:sz w:val="20"/>
                <w:szCs w:val="20"/>
              </w:rPr>
            </w:pPr>
          </w:p>
        </w:tc>
        <w:tc>
          <w:tcPr>
            <w:tcW w:w="2195" w:type="dxa"/>
          </w:tcPr>
          <w:p w14:paraId="026DE596" w14:textId="77777777" w:rsidR="00776A7D" w:rsidRPr="00430C2C" w:rsidRDefault="00776A7D" w:rsidP="00A904B0">
            <w:pPr>
              <w:jc w:val="center"/>
              <w:rPr>
                <w:rFonts w:ascii="Times New Roman" w:hAnsi="Times New Roman" w:cs="Times New Roman"/>
                <w:b/>
                <w:sz w:val="20"/>
                <w:szCs w:val="20"/>
              </w:rPr>
            </w:pPr>
            <w:r w:rsidRPr="00430C2C">
              <w:rPr>
                <w:rFonts w:ascii="Times New Roman" w:hAnsi="Times New Roman" w:cs="Times New Roman"/>
                <w:b/>
                <w:sz w:val="20"/>
                <w:szCs w:val="20"/>
              </w:rPr>
              <w:t>Low scenario</w:t>
            </w:r>
          </w:p>
        </w:tc>
        <w:tc>
          <w:tcPr>
            <w:tcW w:w="1783" w:type="dxa"/>
          </w:tcPr>
          <w:p w14:paraId="4D0D584D" w14:textId="77777777" w:rsidR="00776A7D" w:rsidRPr="00430C2C" w:rsidRDefault="00776A7D" w:rsidP="00A904B0">
            <w:pPr>
              <w:jc w:val="center"/>
              <w:rPr>
                <w:rFonts w:ascii="Times New Roman" w:hAnsi="Times New Roman" w:cs="Times New Roman"/>
                <w:b/>
                <w:sz w:val="20"/>
                <w:szCs w:val="20"/>
              </w:rPr>
            </w:pPr>
            <w:r w:rsidRPr="00430C2C">
              <w:rPr>
                <w:rFonts w:ascii="Times New Roman" w:hAnsi="Times New Roman" w:cs="Times New Roman"/>
                <w:b/>
                <w:sz w:val="20"/>
                <w:szCs w:val="20"/>
              </w:rPr>
              <w:t>High Scenario</w:t>
            </w:r>
          </w:p>
        </w:tc>
      </w:tr>
      <w:tr w:rsidR="00776A7D" w:rsidRPr="00430C2C" w14:paraId="2ECE4700" w14:textId="77777777" w:rsidTr="00776A7D">
        <w:tc>
          <w:tcPr>
            <w:tcW w:w="2660" w:type="dxa"/>
          </w:tcPr>
          <w:p w14:paraId="10FE7C54"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sz w:val="20"/>
                <w:szCs w:val="20"/>
              </w:rPr>
              <w:t>Monetary value of DALY</w:t>
            </w:r>
          </w:p>
        </w:tc>
        <w:tc>
          <w:tcPr>
            <w:tcW w:w="2712" w:type="dxa"/>
          </w:tcPr>
          <w:p w14:paraId="0DF46CB3" w14:textId="77777777" w:rsidR="00776A7D" w:rsidRPr="00430C2C" w:rsidRDefault="006C7EDD">
            <w:pPr>
              <w:rPr>
                <w:rFonts w:ascii="Times New Roman" w:hAnsi="Times New Roman" w:cs="Times New Roman"/>
                <w:sz w:val="20"/>
                <w:szCs w:val="20"/>
              </w:rPr>
            </w:pPr>
            <w:r w:rsidRPr="00430C2C">
              <w:rPr>
                <w:rFonts w:ascii="Times New Roman" w:hAnsi="Times New Roman" w:cs="Times New Roman"/>
                <w:sz w:val="20"/>
                <w:szCs w:val="20"/>
              </w:rPr>
              <w:t>1 x GDP per capita</w:t>
            </w:r>
          </w:p>
        </w:tc>
        <w:tc>
          <w:tcPr>
            <w:tcW w:w="2195" w:type="dxa"/>
          </w:tcPr>
          <w:p w14:paraId="74FABBC2" w14:textId="77777777" w:rsidR="00776A7D" w:rsidRPr="00430C2C" w:rsidRDefault="00CB286B">
            <w:pPr>
              <w:rPr>
                <w:rFonts w:ascii="Times New Roman" w:hAnsi="Times New Roman" w:cs="Times New Roman"/>
                <w:sz w:val="20"/>
                <w:szCs w:val="20"/>
              </w:rPr>
            </w:pPr>
            <w:r w:rsidRPr="00430C2C">
              <w:rPr>
                <w:rFonts w:ascii="Times New Roman" w:hAnsi="Times New Roman" w:cs="Times New Roman"/>
                <w:sz w:val="20"/>
                <w:szCs w:val="20"/>
              </w:rPr>
              <w:t>1 x GDP per capita</w:t>
            </w:r>
          </w:p>
        </w:tc>
        <w:tc>
          <w:tcPr>
            <w:tcW w:w="1783" w:type="dxa"/>
          </w:tcPr>
          <w:p w14:paraId="5201EC2C" w14:textId="77777777" w:rsidR="00776A7D" w:rsidRPr="00430C2C" w:rsidRDefault="00CB286B">
            <w:pPr>
              <w:rPr>
                <w:rFonts w:ascii="Times New Roman" w:hAnsi="Times New Roman" w:cs="Times New Roman"/>
                <w:sz w:val="20"/>
                <w:szCs w:val="20"/>
              </w:rPr>
            </w:pPr>
            <w:r w:rsidRPr="00430C2C">
              <w:rPr>
                <w:rFonts w:ascii="Times New Roman" w:hAnsi="Times New Roman" w:cs="Times New Roman"/>
                <w:sz w:val="20"/>
                <w:szCs w:val="20"/>
              </w:rPr>
              <w:t>3 x GDP per capita</w:t>
            </w:r>
          </w:p>
        </w:tc>
      </w:tr>
      <w:tr w:rsidR="00776A7D" w:rsidRPr="00430C2C" w14:paraId="410C25C0" w14:textId="77777777" w:rsidTr="00776A7D">
        <w:tc>
          <w:tcPr>
            <w:tcW w:w="2660" w:type="dxa"/>
          </w:tcPr>
          <w:p w14:paraId="3A869DDF"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sz w:val="20"/>
                <w:szCs w:val="20"/>
              </w:rPr>
              <w:t>Discount rate of the monetary value of future health benefits</w:t>
            </w:r>
          </w:p>
        </w:tc>
        <w:tc>
          <w:tcPr>
            <w:tcW w:w="2712" w:type="dxa"/>
          </w:tcPr>
          <w:p w14:paraId="596349CE"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sz w:val="20"/>
                <w:szCs w:val="20"/>
              </w:rPr>
              <w:t>3%</w:t>
            </w:r>
          </w:p>
        </w:tc>
        <w:tc>
          <w:tcPr>
            <w:tcW w:w="2195" w:type="dxa"/>
          </w:tcPr>
          <w:p w14:paraId="51133CDA"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sz w:val="20"/>
                <w:szCs w:val="20"/>
              </w:rPr>
              <w:t>5%</w:t>
            </w:r>
          </w:p>
        </w:tc>
        <w:tc>
          <w:tcPr>
            <w:tcW w:w="1783" w:type="dxa"/>
          </w:tcPr>
          <w:p w14:paraId="6A1248F1" w14:textId="77777777" w:rsidR="00776A7D" w:rsidRPr="00430C2C" w:rsidRDefault="00CB286B">
            <w:pPr>
              <w:rPr>
                <w:rFonts w:ascii="Times New Roman" w:hAnsi="Times New Roman" w:cs="Times New Roman"/>
                <w:sz w:val="20"/>
                <w:szCs w:val="20"/>
              </w:rPr>
            </w:pPr>
            <w:r w:rsidRPr="00430C2C">
              <w:rPr>
                <w:rFonts w:ascii="Times New Roman" w:hAnsi="Times New Roman" w:cs="Times New Roman"/>
                <w:sz w:val="20"/>
                <w:szCs w:val="20"/>
              </w:rPr>
              <w:t>3%</w:t>
            </w:r>
          </w:p>
          <w:p w14:paraId="5A8525E8" w14:textId="77777777" w:rsidR="00CB286B" w:rsidRPr="00430C2C" w:rsidRDefault="00CB286B">
            <w:pPr>
              <w:rPr>
                <w:rFonts w:ascii="Times New Roman" w:hAnsi="Times New Roman" w:cs="Times New Roman"/>
                <w:sz w:val="20"/>
                <w:szCs w:val="20"/>
              </w:rPr>
            </w:pPr>
          </w:p>
        </w:tc>
      </w:tr>
      <w:tr w:rsidR="00776A7D" w:rsidRPr="00430C2C" w14:paraId="7F55A672" w14:textId="77777777" w:rsidTr="00776A7D">
        <w:tc>
          <w:tcPr>
            <w:tcW w:w="2660" w:type="dxa"/>
          </w:tcPr>
          <w:p w14:paraId="0A1102E1"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sz w:val="20"/>
                <w:szCs w:val="20"/>
              </w:rPr>
              <w:t>Basic discount rate</w:t>
            </w:r>
          </w:p>
        </w:tc>
        <w:tc>
          <w:tcPr>
            <w:tcW w:w="2712" w:type="dxa"/>
          </w:tcPr>
          <w:p w14:paraId="49A83A32"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sz w:val="20"/>
                <w:szCs w:val="20"/>
              </w:rPr>
              <w:t>4.5% (1.5% inflation; 3% time value of money)</w:t>
            </w:r>
          </w:p>
        </w:tc>
        <w:tc>
          <w:tcPr>
            <w:tcW w:w="2195" w:type="dxa"/>
          </w:tcPr>
          <w:p w14:paraId="55CD5C71" w14:textId="77777777" w:rsidR="00776A7D" w:rsidRPr="00430C2C" w:rsidRDefault="00F91A45">
            <w:pPr>
              <w:rPr>
                <w:rFonts w:ascii="Times New Roman" w:hAnsi="Times New Roman" w:cs="Times New Roman"/>
                <w:sz w:val="20"/>
                <w:szCs w:val="20"/>
              </w:rPr>
            </w:pPr>
            <w:r w:rsidRPr="00430C2C">
              <w:rPr>
                <w:rFonts w:ascii="Times New Roman" w:hAnsi="Times New Roman" w:cs="Times New Roman"/>
                <w:sz w:val="20"/>
                <w:szCs w:val="20"/>
              </w:rPr>
              <w:t>4.5%</w:t>
            </w:r>
          </w:p>
        </w:tc>
        <w:tc>
          <w:tcPr>
            <w:tcW w:w="1783" w:type="dxa"/>
          </w:tcPr>
          <w:p w14:paraId="42603171" w14:textId="77777777" w:rsidR="00776A7D" w:rsidRPr="00430C2C" w:rsidRDefault="00456E9A">
            <w:pPr>
              <w:rPr>
                <w:rFonts w:ascii="Times New Roman" w:hAnsi="Times New Roman" w:cs="Times New Roman"/>
                <w:sz w:val="20"/>
                <w:szCs w:val="20"/>
              </w:rPr>
            </w:pPr>
            <w:r w:rsidRPr="00430C2C">
              <w:rPr>
                <w:rFonts w:ascii="Times New Roman" w:hAnsi="Times New Roman" w:cs="Times New Roman"/>
                <w:sz w:val="20"/>
                <w:szCs w:val="20"/>
              </w:rPr>
              <w:t>6</w:t>
            </w:r>
            <w:r w:rsidR="00CB286B" w:rsidRPr="00430C2C">
              <w:rPr>
                <w:rFonts w:ascii="Times New Roman" w:hAnsi="Times New Roman" w:cs="Times New Roman"/>
                <w:sz w:val="20"/>
                <w:szCs w:val="20"/>
              </w:rPr>
              <w:t>.5%</w:t>
            </w:r>
          </w:p>
        </w:tc>
      </w:tr>
      <w:tr w:rsidR="00776A7D" w:rsidRPr="00430C2C" w14:paraId="5D64D9BE" w14:textId="77777777" w:rsidTr="00776A7D">
        <w:tc>
          <w:tcPr>
            <w:tcW w:w="2660" w:type="dxa"/>
          </w:tcPr>
          <w:p w14:paraId="13DF60EC"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sz w:val="20"/>
                <w:szCs w:val="20"/>
              </w:rPr>
              <w:t>Benefits of interventions in terms of DALYs averted</w:t>
            </w:r>
          </w:p>
        </w:tc>
        <w:tc>
          <w:tcPr>
            <w:tcW w:w="2712" w:type="dxa"/>
          </w:tcPr>
          <w:p w14:paraId="7B95FACC"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i/>
                <w:sz w:val="20"/>
                <w:szCs w:val="20"/>
              </w:rPr>
              <w:t>Improved access to PHC</w:t>
            </w:r>
            <w:r w:rsidRPr="00430C2C">
              <w:rPr>
                <w:rFonts w:ascii="Times New Roman" w:hAnsi="Times New Roman" w:cs="Times New Roman"/>
                <w:sz w:val="20"/>
                <w:szCs w:val="20"/>
              </w:rPr>
              <w:t>: up to 0.1% reduction in</w:t>
            </w:r>
            <w:r w:rsidR="00F91A45" w:rsidRPr="00430C2C">
              <w:rPr>
                <w:rFonts w:ascii="Times New Roman" w:hAnsi="Times New Roman" w:cs="Times New Roman"/>
                <w:sz w:val="20"/>
                <w:szCs w:val="20"/>
              </w:rPr>
              <w:t xml:space="preserve"> </w:t>
            </w:r>
            <w:r w:rsidR="00F91A45" w:rsidRPr="00430C2C">
              <w:rPr>
                <w:rFonts w:ascii="Times New Roman" w:hAnsi="Times New Roman" w:cs="Times New Roman"/>
                <w:sz w:val="20"/>
                <w:szCs w:val="20"/>
              </w:rPr>
              <w:t>in 50% of</w:t>
            </w:r>
            <w:r w:rsidRPr="00430C2C">
              <w:rPr>
                <w:rFonts w:ascii="Times New Roman" w:hAnsi="Times New Roman" w:cs="Times New Roman"/>
                <w:sz w:val="20"/>
                <w:szCs w:val="20"/>
              </w:rPr>
              <w:t xml:space="preserve"> DALYs related to NCDs</w:t>
            </w:r>
          </w:p>
          <w:p w14:paraId="43C365BC" w14:textId="77777777" w:rsidR="00776A7D" w:rsidRPr="00430C2C" w:rsidRDefault="00776A7D">
            <w:pPr>
              <w:rPr>
                <w:rFonts w:ascii="Times New Roman" w:hAnsi="Times New Roman" w:cs="Times New Roman"/>
                <w:sz w:val="20"/>
                <w:szCs w:val="20"/>
              </w:rPr>
            </w:pPr>
          </w:p>
          <w:p w14:paraId="3A22C06D"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i/>
                <w:sz w:val="20"/>
                <w:szCs w:val="20"/>
              </w:rPr>
              <w:t>Improved quality of care</w:t>
            </w:r>
            <w:r w:rsidRPr="00430C2C">
              <w:rPr>
                <w:rFonts w:ascii="Times New Roman" w:hAnsi="Times New Roman" w:cs="Times New Roman"/>
                <w:sz w:val="20"/>
                <w:szCs w:val="20"/>
              </w:rPr>
              <w:t>:</w:t>
            </w:r>
            <w:r w:rsidR="00F91A45" w:rsidRPr="00430C2C">
              <w:rPr>
                <w:rFonts w:ascii="Times New Roman" w:hAnsi="Times New Roman" w:cs="Times New Roman"/>
                <w:sz w:val="20"/>
                <w:szCs w:val="20"/>
              </w:rPr>
              <w:t xml:space="preserve"> up to 0.05% reduction in 50% of </w:t>
            </w:r>
            <w:r w:rsidRPr="00430C2C">
              <w:rPr>
                <w:rFonts w:ascii="Times New Roman" w:hAnsi="Times New Roman" w:cs="Times New Roman"/>
                <w:sz w:val="20"/>
                <w:szCs w:val="20"/>
              </w:rPr>
              <w:t>DALYs related to NCDs</w:t>
            </w:r>
          </w:p>
        </w:tc>
        <w:tc>
          <w:tcPr>
            <w:tcW w:w="2195" w:type="dxa"/>
          </w:tcPr>
          <w:p w14:paraId="623CFB59" w14:textId="77777777" w:rsidR="00571DB6" w:rsidRPr="00430C2C" w:rsidRDefault="00571DB6" w:rsidP="00571DB6">
            <w:pPr>
              <w:rPr>
                <w:rFonts w:ascii="Times New Roman" w:hAnsi="Times New Roman" w:cs="Times New Roman"/>
                <w:sz w:val="20"/>
                <w:szCs w:val="20"/>
              </w:rPr>
            </w:pPr>
            <w:r w:rsidRPr="00430C2C">
              <w:rPr>
                <w:rFonts w:ascii="Times New Roman" w:hAnsi="Times New Roman" w:cs="Times New Roman"/>
                <w:i/>
                <w:sz w:val="20"/>
                <w:szCs w:val="20"/>
              </w:rPr>
              <w:t>Improved access to PHC</w:t>
            </w:r>
            <w:r w:rsidRPr="00430C2C">
              <w:rPr>
                <w:rFonts w:ascii="Times New Roman" w:hAnsi="Times New Roman" w:cs="Times New Roman"/>
                <w:sz w:val="20"/>
                <w:szCs w:val="20"/>
              </w:rPr>
              <w:t>: up to 0.1% reduction in in 50% of DALYs related to NCDs</w:t>
            </w:r>
          </w:p>
          <w:p w14:paraId="588378CC" w14:textId="77777777" w:rsidR="00571DB6" w:rsidRPr="00430C2C" w:rsidRDefault="00571DB6" w:rsidP="00571DB6">
            <w:pPr>
              <w:rPr>
                <w:rFonts w:ascii="Times New Roman" w:hAnsi="Times New Roman" w:cs="Times New Roman"/>
                <w:sz w:val="20"/>
                <w:szCs w:val="20"/>
              </w:rPr>
            </w:pPr>
          </w:p>
          <w:p w14:paraId="46BE006D" w14:textId="77777777" w:rsidR="00776A7D" w:rsidRPr="00430C2C" w:rsidRDefault="00571DB6" w:rsidP="00571DB6">
            <w:pPr>
              <w:rPr>
                <w:rFonts w:ascii="Times New Roman" w:hAnsi="Times New Roman" w:cs="Times New Roman"/>
                <w:sz w:val="20"/>
                <w:szCs w:val="20"/>
              </w:rPr>
            </w:pPr>
            <w:r w:rsidRPr="00430C2C">
              <w:rPr>
                <w:rFonts w:ascii="Times New Roman" w:hAnsi="Times New Roman" w:cs="Times New Roman"/>
                <w:i/>
                <w:sz w:val="20"/>
                <w:szCs w:val="20"/>
              </w:rPr>
              <w:t>Improved quality of care</w:t>
            </w:r>
            <w:r w:rsidRPr="00430C2C">
              <w:rPr>
                <w:rFonts w:ascii="Times New Roman" w:hAnsi="Times New Roman" w:cs="Times New Roman"/>
                <w:sz w:val="20"/>
                <w:szCs w:val="20"/>
              </w:rPr>
              <w:t>: up to 0.05% reduction in 50% of DALYs related to NCDs</w:t>
            </w:r>
          </w:p>
        </w:tc>
        <w:tc>
          <w:tcPr>
            <w:tcW w:w="1783" w:type="dxa"/>
          </w:tcPr>
          <w:p w14:paraId="02233908" w14:textId="77777777" w:rsidR="007B3A6B" w:rsidRPr="00430C2C" w:rsidRDefault="007B3A6B" w:rsidP="007B3A6B">
            <w:pPr>
              <w:rPr>
                <w:rFonts w:ascii="Times New Roman" w:hAnsi="Times New Roman" w:cs="Times New Roman"/>
                <w:sz w:val="20"/>
                <w:szCs w:val="20"/>
              </w:rPr>
            </w:pPr>
            <w:r w:rsidRPr="00430C2C">
              <w:rPr>
                <w:rFonts w:ascii="Times New Roman" w:hAnsi="Times New Roman" w:cs="Times New Roman"/>
                <w:i/>
                <w:sz w:val="20"/>
                <w:szCs w:val="20"/>
              </w:rPr>
              <w:t>Improved access to PHC</w:t>
            </w:r>
            <w:r w:rsidRPr="00430C2C">
              <w:rPr>
                <w:rFonts w:ascii="Times New Roman" w:hAnsi="Times New Roman" w:cs="Times New Roman"/>
                <w:sz w:val="20"/>
                <w:szCs w:val="20"/>
              </w:rPr>
              <w:t>: up to 0.1% reduction in in 50% of DALYs related to NCDs</w:t>
            </w:r>
          </w:p>
          <w:p w14:paraId="1C4F9CCF" w14:textId="77777777" w:rsidR="007B3A6B" w:rsidRPr="00430C2C" w:rsidRDefault="007B3A6B" w:rsidP="007B3A6B">
            <w:pPr>
              <w:rPr>
                <w:rFonts w:ascii="Times New Roman" w:hAnsi="Times New Roman" w:cs="Times New Roman"/>
                <w:sz w:val="20"/>
                <w:szCs w:val="20"/>
              </w:rPr>
            </w:pPr>
          </w:p>
          <w:p w14:paraId="353F6DD2" w14:textId="77777777" w:rsidR="00776A7D" w:rsidRPr="00430C2C" w:rsidRDefault="007B3A6B" w:rsidP="007B3A6B">
            <w:pPr>
              <w:rPr>
                <w:rFonts w:ascii="Times New Roman" w:hAnsi="Times New Roman" w:cs="Times New Roman"/>
                <w:sz w:val="20"/>
                <w:szCs w:val="20"/>
              </w:rPr>
            </w:pPr>
            <w:r w:rsidRPr="00430C2C">
              <w:rPr>
                <w:rFonts w:ascii="Times New Roman" w:hAnsi="Times New Roman" w:cs="Times New Roman"/>
                <w:i/>
                <w:sz w:val="20"/>
                <w:szCs w:val="20"/>
              </w:rPr>
              <w:t>Improved quality of care</w:t>
            </w:r>
            <w:r w:rsidRPr="00430C2C">
              <w:rPr>
                <w:rFonts w:ascii="Times New Roman" w:hAnsi="Times New Roman" w:cs="Times New Roman"/>
                <w:sz w:val="20"/>
                <w:szCs w:val="20"/>
              </w:rPr>
              <w:t>: up to 0.05% reduction in 50% of DALYs related to NCDs</w:t>
            </w:r>
          </w:p>
        </w:tc>
      </w:tr>
      <w:tr w:rsidR="00776A7D" w:rsidRPr="00430C2C" w14:paraId="704FF289" w14:textId="77777777" w:rsidTr="00776A7D">
        <w:tc>
          <w:tcPr>
            <w:tcW w:w="2660" w:type="dxa"/>
          </w:tcPr>
          <w:p w14:paraId="010240AB"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sz w:val="20"/>
                <w:szCs w:val="20"/>
              </w:rPr>
              <w:t>Pharmaceutical savings from Component 1</w:t>
            </w:r>
          </w:p>
        </w:tc>
        <w:tc>
          <w:tcPr>
            <w:tcW w:w="2712" w:type="dxa"/>
          </w:tcPr>
          <w:p w14:paraId="4E779026"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sz w:val="20"/>
                <w:szCs w:val="20"/>
              </w:rPr>
              <w:t>5% reduction in government spending on pharmaceuticals starting in 2021</w:t>
            </w:r>
          </w:p>
          <w:p w14:paraId="5BE1EC34" w14:textId="77777777" w:rsidR="00776A7D" w:rsidRPr="00430C2C" w:rsidRDefault="00776A7D">
            <w:pPr>
              <w:rPr>
                <w:rFonts w:ascii="Times New Roman" w:hAnsi="Times New Roman" w:cs="Times New Roman"/>
                <w:sz w:val="20"/>
                <w:szCs w:val="20"/>
              </w:rPr>
            </w:pPr>
          </w:p>
        </w:tc>
        <w:tc>
          <w:tcPr>
            <w:tcW w:w="2195" w:type="dxa"/>
          </w:tcPr>
          <w:p w14:paraId="052F6980" w14:textId="77777777" w:rsidR="00CB286B" w:rsidRPr="00430C2C" w:rsidRDefault="00CB286B" w:rsidP="00CB286B">
            <w:pPr>
              <w:rPr>
                <w:rFonts w:ascii="Times New Roman" w:hAnsi="Times New Roman" w:cs="Times New Roman"/>
                <w:sz w:val="20"/>
                <w:szCs w:val="20"/>
              </w:rPr>
            </w:pPr>
            <w:r w:rsidRPr="00430C2C">
              <w:rPr>
                <w:rFonts w:ascii="Times New Roman" w:hAnsi="Times New Roman" w:cs="Times New Roman"/>
                <w:sz w:val="20"/>
                <w:szCs w:val="20"/>
              </w:rPr>
              <w:t xml:space="preserve">2% </w:t>
            </w:r>
            <w:r w:rsidRPr="00430C2C">
              <w:rPr>
                <w:rFonts w:ascii="Times New Roman" w:hAnsi="Times New Roman" w:cs="Times New Roman"/>
                <w:sz w:val="20"/>
                <w:szCs w:val="20"/>
              </w:rPr>
              <w:t>reduction in government spending on pharmaceuticals starting in 2021</w:t>
            </w:r>
          </w:p>
          <w:p w14:paraId="06EF087A" w14:textId="77777777" w:rsidR="00776A7D" w:rsidRPr="00430C2C" w:rsidRDefault="00776A7D">
            <w:pPr>
              <w:rPr>
                <w:rFonts w:ascii="Times New Roman" w:hAnsi="Times New Roman" w:cs="Times New Roman"/>
                <w:sz w:val="20"/>
                <w:szCs w:val="20"/>
              </w:rPr>
            </w:pPr>
          </w:p>
        </w:tc>
        <w:tc>
          <w:tcPr>
            <w:tcW w:w="1783" w:type="dxa"/>
          </w:tcPr>
          <w:p w14:paraId="1B24F3E9" w14:textId="77777777" w:rsidR="00CB286B" w:rsidRPr="00430C2C" w:rsidRDefault="00CB286B" w:rsidP="00CB286B">
            <w:pPr>
              <w:rPr>
                <w:rFonts w:ascii="Times New Roman" w:hAnsi="Times New Roman" w:cs="Times New Roman"/>
                <w:sz w:val="20"/>
                <w:szCs w:val="20"/>
              </w:rPr>
            </w:pPr>
            <w:r w:rsidRPr="00430C2C">
              <w:rPr>
                <w:rFonts w:ascii="Times New Roman" w:hAnsi="Times New Roman" w:cs="Times New Roman"/>
                <w:sz w:val="20"/>
                <w:szCs w:val="20"/>
              </w:rPr>
              <w:t xml:space="preserve">7% </w:t>
            </w:r>
            <w:r w:rsidRPr="00430C2C">
              <w:rPr>
                <w:rFonts w:ascii="Times New Roman" w:hAnsi="Times New Roman" w:cs="Times New Roman"/>
                <w:sz w:val="20"/>
                <w:szCs w:val="20"/>
              </w:rPr>
              <w:t>reduction in government spending on pharmaceuticals starting in 2021</w:t>
            </w:r>
          </w:p>
          <w:p w14:paraId="73ADDEF9" w14:textId="77777777" w:rsidR="00776A7D" w:rsidRPr="00430C2C" w:rsidRDefault="00776A7D">
            <w:pPr>
              <w:rPr>
                <w:rFonts w:ascii="Times New Roman" w:hAnsi="Times New Roman" w:cs="Times New Roman"/>
                <w:sz w:val="20"/>
                <w:szCs w:val="20"/>
              </w:rPr>
            </w:pPr>
          </w:p>
        </w:tc>
      </w:tr>
      <w:tr w:rsidR="00776A7D" w:rsidRPr="00430C2C" w14:paraId="15B95BD0" w14:textId="77777777" w:rsidTr="00776A7D">
        <w:tc>
          <w:tcPr>
            <w:tcW w:w="2660" w:type="dxa"/>
          </w:tcPr>
          <w:p w14:paraId="46186A2E" w14:textId="77777777" w:rsidR="00776A7D" w:rsidRPr="00430C2C" w:rsidRDefault="00776A7D">
            <w:pPr>
              <w:rPr>
                <w:rFonts w:ascii="Times New Roman" w:hAnsi="Times New Roman" w:cs="Times New Roman"/>
                <w:sz w:val="20"/>
                <w:szCs w:val="20"/>
              </w:rPr>
            </w:pPr>
            <w:r w:rsidRPr="00430C2C">
              <w:rPr>
                <w:rFonts w:ascii="Times New Roman" w:hAnsi="Times New Roman" w:cs="Times New Roman"/>
                <w:sz w:val="20"/>
                <w:szCs w:val="20"/>
              </w:rPr>
              <w:t>Costs savings due to DRGs (Component 1)</w:t>
            </w:r>
          </w:p>
        </w:tc>
        <w:tc>
          <w:tcPr>
            <w:tcW w:w="2712" w:type="dxa"/>
          </w:tcPr>
          <w:p w14:paraId="31AE3CA8" w14:textId="77777777" w:rsidR="00776A7D" w:rsidRPr="00430C2C" w:rsidRDefault="00AC657B">
            <w:pPr>
              <w:rPr>
                <w:rFonts w:ascii="Times New Roman" w:hAnsi="Times New Roman" w:cs="Times New Roman"/>
                <w:sz w:val="20"/>
                <w:szCs w:val="20"/>
              </w:rPr>
            </w:pPr>
            <w:r w:rsidRPr="00430C2C">
              <w:rPr>
                <w:rFonts w:ascii="Times New Roman" w:hAnsi="Times New Roman" w:cs="Times New Roman"/>
                <w:sz w:val="20"/>
                <w:szCs w:val="20"/>
              </w:rPr>
              <w:t>0.4% reduction in government spending on hospitals (beginning in 2022)</w:t>
            </w:r>
          </w:p>
        </w:tc>
        <w:tc>
          <w:tcPr>
            <w:tcW w:w="2195" w:type="dxa"/>
          </w:tcPr>
          <w:p w14:paraId="0459B9A0" w14:textId="77777777" w:rsidR="00776A7D" w:rsidRPr="00430C2C" w:rsidRDefault="00AC657B">
            <w:pPr>
              <w:rPr>
                <w:rFonts w:ascii="Times New Roman" w:hAnsi="Times New Roman" w:cs="Times New Roman"/>
                <w:sz w:val="20"/>
                <w:szCs w:val="20"/>
              </w:rPr>
            </w:pPr>
            <w:r w:rsidRPr="00430C2C">
              <w:rPr>
                <w:rFonts w:ascii="Times New Roman" w:hAnsi="Times New Roman" w:cs="Times New Roman"/>
                <w:sz w:val="20"/>
                <w:szCs w:val="20"/>
              </w:rPr>
              <w:t>0.2</w:t>
            </w:r>
            <w:r w:rsidRPr="00430C2C">
              <w:rPr>
                <w:rFonts w:ascii="Times New Roman" w:hAnsi="Times New Roman" w:cs="Times New Roman"/>
                <w:sz w:val="20"/>
                <w:szCs w:val="20"/>
              </w:rPr>
              <w:t>% reduction in government spending on hospitals</w:t>
            </w:r>
            <w:r w:rsidRPr="00430C2C">
              <w:rPr>
                <w:rFonts w:ascii="Times New Roman" w:hAnsi="Times New Roman" w:cs="Times New Roman"/>
                <w:sz w:val="20"/>
                <w:szCs w:val="20"/>
              </w:rPr>
              <w:t xml:space="preserve"> </w:t>
            </w:r>
            <w:r w:rsidRPr="00430C2C">
              <w:rPr>
                <w:rFonts w:ascii="Times New Roman" w:hAnsi="Times New Roman" w:cs="Times New Roman"/>
                <w:sz w:val="20"/>
                <w:szCs w:val="20"/>
              </w:rPr>
              <w:t>(beginning in 2022)</w:t>
            </w:r>
          </w:p>
        </w:tc>
        <w:tc>
          <w:tcPr>
            <w:tcW w:w="1783" w:type="dxa"/>
          </w:tcPr>
          <w:p w14:paraId="0132D245" w14:textId="77777777" w:rsidR="00776A7D" w:rsidRPr="00430C2C" w:rsidRDefault="00B96F27">
            <w:pPr>
              <w:rPr>
                <w:rFonts w:ascii="Times New Roman" w:hAnsi="Times New Roman" w:cs="Times New Roman"/>
                <w:sz w:val="20"/>
                <w:szCs w:val="20"/>
              </w:rPr>
            </w:pPr>
            <w:r w:rsidRPr="00430C2C">
              <w:rPr>
                <w:rFonts w:ascii="Times New Roman" w:hAnsi="Times New Roman" w:cs="Times New Roman"/>
                <w:sz w:val="20"/>
                <w:szCs w:val="20"/>
              </w:rPr>
              <w:t>0.6</w:t>
            </w:r>
            <w:r w:rsidR="009F4F9B" w:rsidRPr="00430C2C">
              <w:rPr>
                <w:rFonts w:ascii="Times New Roman" w:hAnsi="Times New Roman" w:cs="Times New Roman"/>
                <w:sz w:val="20"/>
                <w:szCs w:val="20"/>
              </w:rPr>
              <w:t>% reduction in government spending on hospitals (beginning in 2022)</w:t>
            </w:r>
          </w:p>
        </w:tc>
      </w:tr>
    </w:tbl>
    <w:p w14:paraId="0303FDA1" w14:textId="77777777" w:rsidR="0053150E" w:rsidRDefault="0053150E" w:rsidP="0055398F"/>
    <w:p w14:paraId="4B25B7E8" w14:textId="17E8EA2C" w:rsidR="0055398F" w:rsidRDefault="0055398F" w:rsidP="0055398F">
      <w:r>
        <w:lastRenderedPageBreak/>
        <w:fldChar w:fldCharType="begin"/>
      </w:r>
      <w:r>
        <w:instrText xml:space="preserve"> REF _Ref494381754 \h </w:instrText>
      </w:r>
      <w:r>
        <w:fldChar w:fldCharType="separate"/>
      </w:r>
      <w:r>
        <w:t xml:space="preserve">Figure </w:t>
      </w:r>
      <w:r>
        <w:rPr>
          <w:noProof/>
        </w:rPr>
        <w:t>1</w:t>
      </w:r>
      <w:r>
        <w:fldChar w:fldCharType="end"/>
      </w:r>
      <w:r>
        <w:t xml:space="preserve"> shows the number of DALYs averted per year between 2018 and 2032</w:t>
      </w:r>
      <w:r w:rsidR="00FA7152">
        <w:t xml:space="preserve"> under the baseline scenario</w:t>
      </w:r>
      <w:bookmarkStart w:id="1" w:name="_GoBack"/>
      <w:bookmarkEnd w:id="1"/>
      <w:r>
        <w:t xml:space="preserve">. </w:t>
      </w:r>
    </w:p>
    <w:p w14:paraId="010D1A23" w14:textId="77777777" w:rsidR="00F920AE" w:rsidRDefault="00F920AE" w:rsidP="00F920AE">
      <w:pPr>
        <w:pStyle w:val="Caption"/>
        <w:keepNext/>
      </w:pPr>
      <w:bookmarkStart w:id="2" w:name="_Ref494381754"/>
      <w:r>
        <w:t xml:space="preserve">Figure </w:t>
      </w:r>
      <w:fldSimple w:instr=" SEQ Figure \* ARABIC ">
        <w:r>
          <w:rPr>
            <w:noProof/>
          </w:rPr>
          <w:t>1</w:t>
        </w:r>
      </w:fldSimple>
      <w:bookmarkEnd w:id="2"/>
      <w:r>
        <w:t>. Estimated disability adjusted life years (DALYs) averted under the baseline scenario</w:t>
      </w:r>
    </w:p>
    <w:p w14:paraId="6EB07127" w14:textId="77777777" w:rsidR="0008533A" w:rsidRDefault="00F920AE" w:rsidP="0008533A">
      <w:pPr>
        <w:rPr>
          <w:rFonts w:ascii="Times New Roman" w:hAnsi="Times New Roman" w:cs="Times New Roman"/>
          <w:sz w:val="24"/>
          <w:szCs w:val="24"/>
        </w:rPr>
      </w:pPr>
      <w:r>
        <w:rPr>
          <w:noProof/>
        </w:rPr>
        <w:drawing>
          <wp:inline distT="0" distB="0" distL="0" distR="0" wp14:anchorId="3B3E02F0" wp14:editId="5503875B">
            <wp:extent cx="5943600" cy="1971040"/>
            <wp:effectExtent l="0" t="0" r="0" b="0"/>
            <wp:docPr id="1" name="Chart 1">
              <a:extLst xmlns:a="http://schemas.openxmlformats.org/drawingml/2006/main">
                <a:ext uri="{FF2B5EF4-FFF2-40B4-BE49-F238E27FC236}">
                  <a16:creationId xmlns:a16="http://schemas.microsoft.com/office/drawing/2014/main" id="{4CB7479B-8B78-4D01-987F-C2E3E5990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1F1C71B" w14:textId="77777777" w:rsidR="0063407B" w:rsidRDefault="0063407B" w:rsidP="0008533A">
      <w:pPr>
        <w:rPr>
          <w:rFonts w:ascii="Times New Roman" w:hAnsi="Times New Roman" w:cs="Times New Roman"/>
          <w:sz w:val="24"/>
          <w:szCs w:val="24"/>
        </w:rPr>
      </w:pPr>
    </w:p>
    <w:p w14:paraId="336FFF0C" w14:textId="77777777" w:rsidR="00B16108" w:rsidRDefault="00B16108" w:rsidP="0008533A">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_Ref494381457 \h </w:instrText>
      </w:r>
      <w:r>
        <w:rPr>
          <w:rFonts w:ascii="Times New Roman" w:hAnsi="Times New Roman" w:cs="Times New Roman"/>
          <w:sz w:val="24"/>
          <w:szCs w:val="24"/>
        </w:rPr>
      </w:r>
      <w:r>
        <w:rPr>
          <w:rFonts w:ascii="Times New Roman" w:hAnsi="Times New Roman" w:cs="Times New Roman"/>
          <w:sz w:val="24"/>
          <w:szCs w:val="24"/>
        </w:rPr>
        <w:fldChar w:fldCharType="separate"/>
      </w:r>
      <w:r>
        <w:t xml:space="preserve">Table </w:t>
      </w:r>
      <w:r>
        <w:rPr>
          <w:noProof/>
        </w:rPr>
        <w:t>2</w:t>
      </w:r>
      <w:r>
        <w:rPr>
          <w:rFonts w:ascii="Times New Roman" w:hAnsi="Times New Roman" w:cs="Times New Roman"/>
          <w:sz w:val="24"/>
          <w:szCs w:val="24"/>
        </w:rPr>
        <w:fldChar w:fldCharType="end"/>
      </w:r>
      <w:r>
        <w:rPr>
          <w:rFonts w:ascii="Times New Roman" w:hAnsi="Times New Roman" w:cs="Times New Roman"/>
          <w:sz w:val="24"/>
          <w:szCs w:val="24"/>
        </w:rPr>
        <w:t xml:space="preserve"> presents the results of the economic analysis. Under the baseline scenario, the benefit cost ratio (BCR) is 2.5; internal rate of return (IRR) is 20%, and the net present value (NPV) of the project is $47.6 million.</w:t>
      </w:r>
      <w:r w:rsidR="001D7FEF">
        <w:rPr>
          <w:rFonts w:ascii="Times New Roman" w:hAnsi="Times New Roman" w:cs="Times New Roman"/>
          <w:sz w:val="24"/>
          <w:szCs w:val="24"/>
        </w:rPr>
        <w:t xml:space="preserve"> The returns of component 1</w:t>
      </w:r>
      <w:r w:rsidR="0082640C">
        <w:rPr>
          <w:rFonts w:ascii="Times New Roman" w:hAnsi="Times New Roman" w:cs="Times New Roman"/>
          <w:sz w:val="24"/>
          <w:szCs w:val="24"/>
        </w:rPr>
        <w:t xml:space="preserve"> alone</w:t>
      </w:r>
      <w:r w:rsidR="001D7FEF">
        <w:rPr>
          <w:rFonts w:ascii="Times New Roman" w:hAnsi="Times New Roman" w:cs="Times New Roman"/>
          <w:sz w:val="24"/>
          <w:szCs w:val="24"/>
        </w:rPr>
        <w:t xml:space="preserve"> are substantial:</w:t>
      </w:r>
      <w:r w:rsidR="00344F0A">
        <w:rPr>
          <w:rFonts w:ascii="Times New Roman" w:hAnsi="Times New Roman" w:cs="Times New Roman"/>
          <w:sz w:val="24"/>
          <w:szCs w:val="24"/>
        </w:rPr>
        <w:t xml:space="preserve"> BCR of 16.1, IRR of 55%, and NPV of $27 million</w:t>
      </w:r>
      <w:r w:rsidR="00D31D30">
        <w:rPr>
          <w:rFonts w:ascii="Times New Roman" w:hAnsi="Times New Roman" w:cs="Times New Roman"/>
          <w:sz w:val="24"/>
          <w:szCs w:val="24"/>
        </w:rPr>
        <w:t xml:space="preserve"> under the baseline scenario</w:t>
      </w:r>
      <w:r w:rsidR="00344F0A">
        <w:rPr>
          <w:rFonts w:ascii="Times New Roman" w:hAnsi="Times New Roman" w:cs="Times New Roman"/>
          <w:sz w:val="24"/>
          <w:szCs w:val="24"/>
        </w:rPr>
        <w:t xml:space="preserve">. </w:t>
      </w:r>
      <w:r w:rsidR="00CB320C">
        <w:rPr>
          <w:rFonts w:ascii="Times New Roman" w:hAnsi="Times New Roman" w:cs="Times New Roman"/>
          <w:sz w:val="24"/>
          <w:szCs w:val="24"/>
        </w:rPr>
        <w:t xml:space="preserve">Even under the low scenario, the project demonstrates a significant development impact: BCR of 2.11, IRR of 16%, and NPV of $35.5 million. </w:t>
      </w:r>
      <w:r w:rsidR="00334305">
        <w:rPr>
          <w:rFonts w:ascii="Times New Roman" w:hAnsi="Times New Roman" w:cs="Times New Roman"/>
          <w:sz w:val="24"/>
          <w:szCs w:val="24"/>
        </w:rPr>
        <w:t xml:space="preserve">It is important </w:t>
      </w:r>
      <w:r w:rsidR="0011094B">
        <w:rPr>
          <w:rFonts w:ascii="Times New Roman" w:hAnsi="Times New Roman" w:cs="Times New Roman"/>
          <w:sz w:val="24"/>
          <w:szCs w:val="24"/>
        </w:rPr>
        <w:t xml:space="preserve">to </w:t>
      </w:r>
      <w:r w:rsidR="00334305">
        <w:rPr>
          <w:rFonts w:ascii="Times New Roman" w:hAnsi="Times New Roman" w:cs="Times New Roman"/>
          <w:sz w:val="24"/>
          <w:szCs w:val="24"/>
        </w:rPr>
        <w:t>note</w:t>
      </w:r>
      <w:r w:rsidR="000755BB">
        <w:rPr>
          <w:rFonts w:ascii="Times New Roman" w:hAnsi="Times New Roman" w:cs="Times New Roman"/>
          <w:sz w:val="24"/>
          <w:szCs w:val="24"/>
        </w:rPr>
        <w:t xml:space="preserve"> </w:t>
      </w:r>
      <w:r w:rsidR="00334305">
        <w:rPr>
          <w:rFonts w:ascii="Times New Roman" w:hAnsi="Times New Roman" w:cs="Times New Roman"/>
          <w:sz w:val="24"/>
          <w:szCs w:val="24"/>
        </w:rPr>
        <w:t xml:space="preserve">that there is large uncertainty in these values given </w:t>
      </w:r>
      <w:r w:rsidR="0011094B">
        <w:rPr>
          <w:rFonts w:ascii="Times New Roman" w:hAnsi="Times New Roman" w:cs="Times New Roman"/>
          <w:sz w:val="24"/>
          <w:szCs w:val="24"/>
        </w:rPr>
        <w:t xml:space="preserve">the lack of detailed indicators/interventions of the project. </w:t>
      </w:r>
      <w:r w:rsidR="000755BB">
        <w:rPr>
          <w:rFonts w:ascii="Times New Roman" w:hAnsi="Times New Roman" w:cs="Times New Roman"/>
          <w:sz w:val="24"/>
          <w:szCs w:val="24"/>
        </w:rPr>
        <w:t xml:space="preserve">Our assumptions, however, </w:t>
      </w:r>
      <w:r w:rsidR="0082640C">
        <w:rPr>
          <w:rFonts w:ascii="Times New Roman" w:hAnsi="Times New Roman" w:cs="Times New Roman"/>
          <w:sz w:val="24"/>
          <w:szCs w:val="24"/>
        </w:rPr>
        <w:t>for</w:t>
      </w:r>
      <w:r w:rsidR="000755BB">
        <w:rPr>
          <w:rFonts w:ascii="Times New Roman" w:hAnsi="Times New Roman" w:cs="Times New Roman"/>
          <w:sz w:val="24"/>
          <w:szCs w:val="24"/>
        </w:rPr>
        <w:t xml:space="preserve"> the </w:t>
      </w:r>
      <w:r w:rsidR="0082640C">
        <w:rPr>
          <w:rFonts w:ascii="Times New Roman" w:hAnsi="Times New Roman" w:cs="Times New Roman"/>
          <w:sz w:val="24"/>
          <w:szCs w:val="24"/>
        </w:rPr>
        <w:t>potential</w:t>
      </w:r>
      <w:r w:rsidR="000755BB">
        <w:rPr>
          <w:rFonts w:ascii="Times New Roman" w:hAnsi="Times New Roman" w:cs="Times New Roman"/>
          <w:sz w:val="24"/>
          <w:szCs w:val="24"/>
        </w:rPr>
        <w:t xml:space="preserve"> reductions in DALYs and government spending (due to DRGs and pharmaceutical </w:t>
      </w:r>
      <w:r w:rsidR="006D50FD">
        <w:rPr>
          <w:rFonts w:ascii="Times New Roman" w:hAnsi="Times New Roman" w:cs="Times New Roman"/>
          <w:sz w:val="24"/>
          <w:szCs w:val="24"/>
        </w:rPr>
        <w:t xml:space="preserve">policies), </w:t>
      </w:r>
      <w:r w:rsidR="000755BB">
        <w:rPr>
          <w:rFonts w:ascii="Times New Roman" w:hAnsi="Times New Roman" w:cs="Times New Roman"/>
          <w:sz w:val="24"/>
          <w:szCs w:val="24"/>
        </w:rPr>
        <w:t>were quite conservative.</w:t>
      </w:r>
    </w:p>
    <w:p w14:paraId="6A983797" w14:textId="77777777" w:rsidR="00A904B0" w:rsidRDefault="00A904B0" w:rsidP="00A904B0">
      <w:pPr>
        <w:pStyle w:val="Caption"/>
        <w:keepNext/>
      </w:pPr>
      <w:bookmarkStart w:id="3" w:name="_Ref494381457"/>
      <w:r>
        <w:t xml:space="preserve">Table </w:t>
      </w:r>
      <w:r>
        <w:fldChar w:fldCharType="begin"/>
      </w:r>
      <w:r>
        <w:instrText xml:space="preserve"> SEQ Table \* ARABIC </w:instrText>
      </w:r>
      <w:r>
        <w:fldChar w:fldCharType="separate"/>
      </w:r>
      <w:r>
        <w:rPr>
          <w:noProof/>
        </w:rPr>
        <w:t>2</w:t>
      </w:r>
      <w:r>
        <w:fldChar w:fldCharType="end"/>
      </w:r>
      <w:bookmarkEnd w:id="3"/>
      <w:r w:rsidR="00CB320C">
        <w:t>: Results of the economic analysis: benefit cost ratio, internal rate of return, net present value</w:t>
      </w:r>
    </w:p>
    <w:tbl>
      <w:tblPr>
        <w:tblW w:w="10059" w:type="dxa"/>
        <w:tblInd w:w="-5" w:type="dxa"/>
        <w:tblLook w:val="04A0" w:firstRow="1" w:lastRow="0" w:firstColumn="1" w:lastColumn="0" w:noHBand="0" w:noVBand="1"/>
      </w:tblPr>
      <w:tblGrid>
        <w:gridCol w:w="1710"/>
        <w:gridCol w:w="2779"/>
        <w:gridCol w:w="1879"/>
        <w:gridCol w:w="1790"/>
        <w:gridCol w:w="1901"/>
      </w:tblGrid>
      <w:tr w:rsidR="00A904B0" w:rsidRPr="0053150E" w14:paraId="558CC668" w14:textId="77777777" w:rsidTr="00CB320C">
        <w:trPr>
          <w:trHeight w:val="208"/>
        </w:trPr>
        <w:tc>
          <w:tcPr>
            <w:tcW w:w="1710" w:type="dxa"/>
            <w:tcBorders>
              <w:top w:val="single" w:sz="4" w:space="0" w:color="auto"/>
              <w:left w:val="single" w:sz="4" w:space="0" w:color="auto"/>
              <w:bottom w:val="single" w:sz="4" w:space="0" w:color="auto"/>
              <w:right w:val="nil"/>
            </w:tcBorders>
            <w:shd w:val="clear" w:color="auto" w:fill="auto"/>
            <w:noWrap/>
            <w:vAlign w:val="bottom"/>
            <w:hideMark/>
          </w:tcPr>
          <w:p w14:paraId="6C999097" w14:textId="77777777" w:rsidR="00A904B0" w:rsidRPr="0053150E" w:rsidRDefault="00A904B0" w:rsidP="00E201B6">
            <w:pPr>
              <w:spacing w:after="0" w:line="240" w:lineRule="auto"/>
              <w:rPr>
                <w:rFonts w:ascii="Times New Roman" w:eastAsia="Times New Roman" w:hAnsi="Times New Roman" w:cs="Times New Roman"/>
                <w:color w:val="000000"/>
              </w:rPr>
            </w:pPr>
            <w:r w:rsidRPr="0053150E">
              <w:rPr>
                <w:rFonts w:ascii="Times New Roman" w:eastAsia="Times New Roman" w:hAnsi="Times New Roman" w:cs="Times New Roman"/>
                <w:color w:val="000000"/>
              </w:rPr>
              <w:t> </w:t>
            </w:r>
          </w:p>
        </w:tc>
        <w:tc>
          <w:tcPr>
            <w:tcW w:w="2779" w:type="dxa"/>
            <w:tcBorders>
              <w:top w:val="single" w:sz="4" w:space="0" w:color="auto"/>
              <w:left w:val="nil"/>
              <w:bottom w:val="single" w:sz="4" w:space="0" w:color="auto"/>
              <w:right w:val="nil"/>
            </w:tcBorders>
            <w:shd w:val="clear" w:color="auto" w:fill="auto"/>
            <w:noWrap/>
            <w:vAlign w:val="bottom"/>
            <w:hideMark/>
          </w:tcPr>
          <w:p w14:paraId="5A4CF0E8" w14:textId="77777777" w:rsidR="00A904B0" w:rsidRPr="0053150E" w:rsidRDefault="00A904B0" w:rsidP="00E201B6">
            <w:pPr>
              <w:spacing w:after="0" w:line="240" w:lineRule="auto"/>
              <w:rPr>
                <w:rFonts w:ascii="Times New Roman" w:eastAsia="Times New Roman" w:hAnsi="Times New Roman" w:cs="Times New Roman"/>
                <w:color w:val="000000"/>
              </w:rPr>
            </w:pPr>
            <w:r w:rsidRPr="0053150E">
              <w:rPr>
                <w:rFonts w:ascii="Times New Roman" w:eastAsia="Times New Roman" w:hAnsi="Times New Roman" w:cs="Times New Roman"/>
                <w:color w:val="000000"/>
              </w:rPr>
              <w:t> </w:t>
            </w:r>
          </w:p>
        </w:tc>
        <w:tc>
          <w:tcPr>
            <w:tcW w:w="1879" w:type="dxa"/>
            <w:tcBorders>
              <w:top w:val="single" w:sz="4" w:space="0" w:color="auto"/>
              <w:left w:val="nil"/>
              <w:bottom w:val="single" w:sz="4" w:space="0" w:color="auto"/>
              <w:right w:val="nil"/>
            </w:tcBorders>
            <w:shd w:val="clear" w:color="auto" w:fill="auto"/>
            <w:noWrap/>
            <w:vAlign w:val="bottom"/>
            <w:hideMark/>
          </w:tcPr>
          <w:p w14:paraId="54C2DE74" w14:textId="77777777" w:rsidR="00A904B0" w:rsidRPr="0053150E" w:rsidRDefault="00A904B0" w:rsidP="00E201B6">
            <w:pPr>
              <w:spacing w:after="0" w:line="240" w:lineRule="auto"/>
              <w:jc w:val="center"/>
              <w:rPr>
                <w:rFonts w:ascii="Times New Roman" w:eastAsia="Times New Roman" w:hAnsi="Times New Roman" w:cs="Times New Roman"/>
                <w:b/>
                <w:bCs/>
                <w:color w:val="000000"/>
              </w:rPr>
            </w:pPr>
            <w:r w:rsidRPr="0053150E">
              <w:rPr>
                <w:rFonts w:ascii="Times New Roman" w:eastAsia="Times New Roman" w:hAnsi="Times New Roman" w:cs="Times New Roman"/>
                <w:b/>
                <w:bCs/>
                <w:color w:val="000000"/>
              </w:rPr>
              <w:t>Baseline Scenario</w:t>
            </w:r>
          </w:p>
        </w:tc>
        <w:tc>
          <w:tcPr>
            <w:tcW w:w="1790" w:type="dxa"/>
            <w:tcBorders>
              <w:top w:val="single" w:sz="4" w:space="0" w:color="auto"/>
              <w:left w:val="nil"/>
              <w:bottom w:val="single" w:sz="4" w:space="0" w:color="auto"/>
              <w:right w:val="nil"/>
            </w:tcBorders>
            <w:shd w:val="clear" w:color="auto" w:fill="auto"/>
            <w:noWrap/>
            <w:vAlign w:val="bottom"/>
            <w:hideMark/>
          </w:tcPr>
          <w:p w14:paraId="52DCF0BD" w14:textId="77777777" w:rsidR="00A904B0" w:rsidRPr="0053150E" w:rsidRDefault="00A904B0" w:rsidP="00E201B6">
            <w:pPr>
              <w:spacing w:after="0" w:line="240" w:lineRule="auto"/>
              <w:jc w:val="center"/>
              <w:rPr>
                <w:rFonts w:ascii="Times New Roman" w:eastAsia="Times New Roman" w:hAnsi="Times New Roman" w:cs="Times New Roman"/>
                <w:b/>
                <w:bCs/>
                <w:color w:val="000000"/>
              </w:rPr>
            </w:pPr>
            <w:r w:rsidRPr="0053150E">
              <w:rPr>
                <w:rFonts w:ascii="Times New Roman" w:eastAsia="Times New Roman" w:hAnsi="Times New Roman" w:cs="Times New Roman"/>
                <w:b/>
                <w:bCs/>
                <w:color w:val="000000"/>
              </w:rPr>
              <w:t>Low Scenario</w:t>
            </w:r>
          </w:p>
        </w:tc>
        <w:tc>
          <w:tcPr>
            <w:tcW w:w="1901" w:type="dxa"/>
            <w:tcBorders>
              <w:top w:val="single" w:sz="4" w:space="0" w:color="auto"/>
              <w:left w:val="nil"/>
              <w:bottom w:val="single" w:sz="4" w:space="0" w:color="auto"/>
              <w:right w:val="single" w:sz="4" w:space="0" w:color="auto"/>
            </w:tcBorders>
            <w:shd w:val="clear" w:color="auto" w:fill="auto"/>
            <w:noWrap/>
            <w:vAlign w:val="bottom"/>
            <w:hideMark/>
          </w:tcPr>
          <w:p w14:paraId="010C7262" w14:textId="77777777" w:rsidR="00A904B0" w:rsidRPr="0053150E" w:rsidRDefault="00A904B0" w:rsidP="00E201B6">
            <w:pPr>
              <w:spacing w:after="0" w:line="240" w:lineRule="auto"/>
              <w:jc w:val="center"/>
              <w:rPr>
                <w:rFonts w:ascii="Times New Roman" w:eastAsia="Times New Roman" w:hAnsi="Times New Roman" w:cs="Times New Roman"/>
                <w:b/>
                <w:bCs/>
                <w:color w:val="000000"/>
              </w:rPr>
            </w:pPr>
            <w:r w:rsidRPr="0053150E">
              <w:rPr>
                <w:rFonts w:ascii="Times New Roman" w:eastAsia="Times New Roman" w:hAnsi="Times New Roman" w:cs="Times New Roman"/>
                <w:b/>
                <w:bCs/>
                <w:color w:val="000000"/>
              </w:rPr>
              <w:t>High Scenario</w:t>
            </w:r>
          </w:p>
        </w:tc>
      </w:tr>
      <w:tr w:rsidR="00A904B0" w:rsidRPr="0053150E" w14:paraId="148138E9" w14:textId="77777777" w:rsidTr="00CB320C">
        <w:trPr>
          <w:trHeight w:val="208"/>
        </w:trPr>
        <w:tc>
          <w:tcPr>
            <w:tcW w:w="1710" w:type="dxa"/>
            <w:vMerge w:val="restart"/>
            <w:tcBorders>
              <w:top w:val="nil"/>
              <w:left w:val="single" w:sz="4" w:space="0" w:color="auto"/>
              <w:bottom w:val="single" w:sz="4" w:space="0" w:color="000000"/>
              <w:right w:val="nil"/>
            </w:tcBorders>
            <w:shd w:val="clear" w:color="auto" w:fill="auto"/>
            <w:noWrap/>
            <w:hideMark/>
          </w:tcPr>
          <w:p w14:paraId="14A47574" w14:textId="77777777" w:rsidR="00A904B0" w:rsidRPr="0053150E" w:rsidRDefault="00A904B0" w:rsidP="00E201B6">
            <w:pPr>
              <w:spacing w:after="0" w:line="240" w:lineRule="auto"/>
              <w:rPr>
                <w:rFonts w:ascii="Times New Roman" w:eastAsia="Times New Roman" w:hAnsi="Times New Roman" w:cs="Times New Roman"/>
                <w:b/>
                <w:bCs/>
                <w:color w:val="000000"/>
              </w:rPr>
            </w:pPr>
            <w:r w:rsidRPr="0053150E">
              <w:rPr>
                <w:rFonts w:ascii="Times New Roman" w:eastAsia="Times New Roman" w:hAnsi="Times New Roman" w:cs="Times New Roman"/>
                <w:b/>
                <w:bCs/>
                <w:color w:val="000000"/>
              </w:rPr>
              <w:t>Overall Project</w:t>
            </w:r>
          </w:p>
        </w:tc>
        <w:tc>
          <w:tcPr>
            <w:tcW w:w="2779" w:type="dxa"/>
            <w:tcBorders>
              <w:top w:val="nil"/>
              <w:left w:val="nil"/>
              <w:bottom w:val="nil"/>
              <w:right w:val="nil"/>
            </w:tcBorders>
            <w:shd w:val="clear" w:color="auto" w:fill="auto"/>
            <w:noWrap/>
            <w:vAlign w:val="bottom"/>
            <w:hideMark/>
          </w:tcPr>
          <w:p w14:paraId="043A90C7" w14:textId="77777777" w:rsidR="00A904B0" w:rsidRPr="0053150E" w:rsidRDefault="00A904B0" w:rsidP="00E201B6">
            <w:pPr>
              <w:spacing w:after="0" w:line="240" w:lineRule="auto"/>
              <w:rPr>
                <w:rFonts w:ascii="Times New Roman" w:eastAsia="Times New Roman" w:hAnsi="Times New Roman" w:cs="Times New Roman"/>
                <w:color w:val="000000"/>
              </w:rPr>
            </w:pPr>
            <w:r w:rsidRPr="0053150E">
              <w:rPr>
                <w:rFonts w:ascii="Times New Roman" w:eastAsia="Times New Roman" w:hAnsi="Times New Roman" w:cs="Times New Roman"/>
                <w:color w:val="000000"/>
              </w:rPr>
              <w:t>Benefit cost ratio (BCR)</w:t>
            </w:r>
          </w:p>
        </w:tc>
        <w:tc>
          <w:tcPr>
            <w:tcW w:w="1879" w:type="dxa"/>
            <w:tcBorders>
              <w:top w:val="nil"/>
              <w:left w:val="nil"/>
              <w:bottom w:val="nil"/>
              <w:right w:val="nil"/>
            </w:tcBorders>
            <w:shd w:val="clear" w:color="auto" w:fill="auto"/>
            <w:noWrap/>
            <w:vAlign w:val="bottom"/>
            <w:hideMark/>
          </w:tcPr>
          <w:p w14:paraId="55D0C728"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2.49</w:t>
            </w:r>
          </w:p>
        </w:tc>
        <w:tc>
          <w:tcPr>
            <w:tcW w:w="1790" w:type="dxa"/>
            <w:tcBorders>
              <w:top w:val="nil"/>
              <w:left w:val="nil"/>
              <w:bottom w:val="nil"/>
              <w:right w:val="nil"/>
            </w:tcBorders>
            <w:shd w:val="clear" w:color="auto" w:fill="auto"/>
            <w:noWrap/>
            <w:vAlign w:val="bottom"/>
            <w:hideMark/>
          </w:tcPr>
          <w:p w14:paraId="45753175"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2.11</w:t>
            </w:r>
          </w:p>
        </w:tc>
        <w:tc>
          <w:tcPr>
            <w:tcW w:w="1901" w:type="dxa"/>
            <w:tcBorders>
              <w:top w:val="nil"/>
              <w:left w:val="nil"/>
              <w:bottom w:val="nil"/>
              <w:right w:val="single" w:sz="4" w:space="0" w:color="auto"/>
            </w:tcBorders>
            <w:shd w:val="clear" w:color="auto" w:fill="auto"/>
            <w:noWrap/>
            <w:vAlign w:val="bottom"/>
            <w:hideMark/>
          </w:tcPr>
          <w:p w14:paraId="3BF72CDF"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7.86</w:t>
            </w:r>
          </w:p>
        </w:tc>
      </w:tr>
      <w:tr w:rsidR="00A904B0" w:rsidRPr="0053150E" w14:paraId="23CDED2A" w14:textId="77777777" w:rsidTr="00CB320C">
        <w:trPr>
          <w:trHeight w:val="208"/>
        </w:trPr>
        <w:tc>
          <w:tcPr>
            <w:tcW w:w="1710" w:type="dxa"/>
            <w:vMerge/>
            <w:tcBorders>
              <w:top w:val="nil"/>
              <w:left w:val="single" w:sz="4" w:space="0" w:color="auto"/>
              <w:bottom w:val="single" w:sz="4" w:space="0" w:color="000000"/>
              <w:right w:val="nil"/>
            </w:tcBorders>
            <w:vAlign w:val="center"/>
            <w:hideMark/>
          </w:tcPr>
          <w:p w14:paraId="3C710A94" w14:textId="77777777" w:rsidR="00A904B0" w:rsidRPr="0053150E" w:rsidRDefault="00A904B0" w:rsidP="00E201B6">
            <w:pPr>
              <w:spacing w:after="0" w:line="240" w:lineRule="auto"/>
              <w:rPr>
                <w:rFonts w:ascii="Times New Roman" w:eastAsia="Times New Roman" w:hAnsi="Times New Roman" w:cs="Times New Roman"/>
                <w:b/>
                <w:bCs/>
                <w:color w:val="000000"/>
              </w:rPr>
            </w:pPr>
          </w:p>
        </w:tc>
        <w:tc>
          <w:tcPr>
            <w:tcW w:w="2779" w:type="dxa"/>
            <w:tcBorders>
              <w:top w:val="nil"/>
              <w:left w:val="nil"/>
              <w:bottom w:val="nil"/>
              <w:right w:val="nil"/>
            </w:tcBorders>
            <w:shd w:val="clear" w:color="auto" w:fill="auto"/>
            <w:noWrap/>
            <w:vAlign w:val="bottom"/>
            <w:hideMark/>
          </w:tcPr>
          <w:p w14:paraId="57AF91A0" w14:textId="77777777" w:rsidR="00A904B0" w:rsidRPr="0053150E" w:rsidRDefault="00A904B0" w:rsidP="00E201B6">
            <w:pPr>
              <w:spacing w:after="0" w:line="240" w:lineRule="auto"/>
              <w:rPr>
                <w:rFonts w:ascii="Times New Roman" w:eastAsia="Times New Roman" w:hAnsi="Times New Roman" w:cs="Times New Roman"/>
                <w:color w:val="000000"/>
              </w:rPr>
            </w:pPr>
            <w:r w:rsidRPr="0053150E">
              <w:rPr>
                <w:rFonts w:ascii="Times New Roman" w:eastAsia="Times New Roman" w:hAnsi="Times New Roman" w:cs="Times New Roman"/>
                <w:color w:val="000000"/>
              </w:rPr>
              <w:t>Internal rate of return (IRR)</w:t>
            </w:r>
          </w:p>
        </w:tc>
        <w:tc>
          <w:tcPr>
            <w:tcW w:w="1879" w:type="dxa"/>
            <w:tcBorders>
              <w:top w:val="nil"/>
              <w:left w:val="nil"/>
              <w:bottom w:val="nil"/>
              <w:right w:val="nil"/>
            </w:tcBorders>
            <w:shd w:val="clear" w:color="auto" w:fill="auto"/>
            <w:noWrap/>
            <w:vAlign w:val="bottom"/>
            <w:hideMark/>
          </w:tcPr>
          <w:p w14:paraId="05729A5E"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20%</w:t>
            </w:r>
          </w:p>
        </w:tc>
        <w:tc>
          <w:tcPr>
            <w:tcW w:w="1790" w:type="dxa"/>
            <w:tcBorders>
              <w:top w:val="nil"/>
              <w:left w:val="nil"/>
              <w:bottom w:val="nil"/>
              <w:right w:val="nil"/>
            </w:tcBorders>
            <w:shd w:val="clear" w:color="auto" w:fill="auto"/>
            <w:noWrap/>
            <w:vAlign w:val="bottom"/>
            <w:hideMark/>
          </w:tcPr>
          <w:p w14:paraId="1898C990"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16%</w:t>
            </w:r>
          </w:p>
        </w:tc>
        <w:tc>
          <w:tcPr>
            <w:tcW w:w="1901" w:type="dxa"/>
            <w:tcBorders>
              <w:top w:val="nil"/>
              <w:left w:val="nil"/>
              <w:bottom w:val="nil"/>
              <w:right w:val="single" w:sz="4" w:space="0" w:color="auto"/>
            </w:tcBorders>
            <w:shd w:val="clear" w:color="auto" w:fill="auto"/>
            <w:noWrap/>
            <w:vAlign w:val="bottom"/>
            <w:hideMark/>
          </w:tcPr>
          <w:p w14:paraId="387962BE"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68%</w:t>
            </w:r>
          </w:p>
        </w:tc>
      </w:tr>
      <w:tr w:rsidR="00A904B0" w:rsidRPr="0053150E" w14:paraId="1286BA73" w14:textId="77777777" w:rsidTr="00CB320C">
        <w:trPr>
          <w:trHeight w:val="208"/>
        </w:trPr>
        <w:tc>
          <w:tcPr>
            <w:tcW w:w="1710" w:type="dxa"/>
            <w:vMerge/>
            <w:tcBorders>
              <w:top w:val="nil"/>
              <w:left w:val="single" w:sz="4" w:space="0" w:color="auto"/>
              <w:bottom w:val="single" w:sz="4" w:space="0" w:color="000000"/>
              <w:right w:val="nil"/>
            </w:tcBorders>
            <w:vAlign w:val="center"/>
            <w:hideMark/>
          </w:tcPr>
          <w:p w14:paraId="2E102B71" w14:textId="77777777" w:rsidR="00A904B0" w:rsidRPr="0053150E" w:rsidRDefault="00A904B0" w:rsidP="00E201B6">
            <w:pPr>
              <w:spacing w:after="0" w:line="240" w:lineRule="auto"/>
              <w:rPr>
                <w:rFonts w:ascii="Times New Roman" w:eastAsia="Times New Roman" w:hAnsi="Times New Roman" w:cs="Times New Roman"/>
                <w:b/>
                <w:bCs/>
                <w:color w:val="000000"/>
              </w:rPr>
            </w:pPr>
          </w:p>
        </w:tc>
        <w:tc>
          <w:tcPr>
            <w:tcW w:w="2779" w:type="dxa"/>
            <w:tcBorders>
              <w:top w:val="nil"/>
              <w:left w:val="nil"/>
              <w:bottom w:val="single" w:sz="4" w:space="0" w:color="auto"/>
              <w:right w:val="nil"/>
            </w:tcBorders>
            <w:shd w:val="clear" w:color="auto" w:fill="auto"/>
            <w:noWrap/>
            <w:vAlign w:val="bottom"/>
            <w:hideMark/>
          </w:tcPr>
          <w:p w14:paraId="3D5F56F5" w14:textId="77777777" w:rsidR="00A904B0" w:rsidRPr="0053150E" w:rsidRDefault="00A904B0" w:rsidP="00E201B6">
            <w:pPr>
              <w:spacing w:after="0" w:line="240" w:lineRule="auto"/>
              <w:rPr>
                <w:rFonts w:ascii="Times New Roman" w:eastAsia="Times New Roman" w:hAnsi="Times New Roman" w:cs="Times New Roman"/>
                <w:color w:val="000000"/>
              </w:rPr>
            </w:pPr>
            <w:r w:rsidRPr="0053150E">
              <w:rPr>
                <w:rFonts w:ascii="Times New Roman" w:eastAsia="Times New Roman" w:hAnsi="Times New Roman" w:cs="Times New Roman"/>
                <w:color w:val="000000"/>
              </w:rPr>
              <w:t>Net present value (NPV)</w:t>
            </w:r>
          </w:p>
        </w:tc>
        <w:tc>
          <w:tcPr>
            <w:tcW w:w="1879" w:type="dxa"/>
            <w:tcBorders>
              <w:top w:val="nil"/>
              <w:left w:val="nil"/>
              <w:bottom w:val="single" w:sz="4" w:space="0" w:color="auto"/>
              <w:right w:val="nil"/>
            </w:tcBorders>
            <w:shd w:val="clear" w:color="auto" w:fill="auto"/>
            <w:noWrap/>
            <w:vAlign w:val="bottom"/>
            <w:hideMark/>
          </w:tcPr>
          <w:p w14:paraId="0D97C4BB"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   47,597,859</w:t>
            </w:r>
          </w:p>
        </w:tc>
        <w:tc>
          <w:tcPr>
            <w:tcW w:w="1790" w:type="dxa"/>
            <w:tcBorders>
              <w:top w:val="nil"/>
              <w:left w:val="nil"/>
              <w:bottom w:val="single" w:sz="4" w:space="0" w:color="auto"/>
              <w:right w:val="nil"/>
            </w:tcBorders>
            <w:shd w:val="clear" w:color="auto" w:fill="auto"/>
            <w:noWrap/>
            <w:vAlign w:val="bottom"/>
            <w:hideMark/>
          </w:tcPr>
          <w:p w14:paraId="1262F79A"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$ 35,484,020</w:t>
            </w:r>
            <w:r w:rsidRPr="0053150E">
              <w:rPr>
                <w:rFonts w:ascii="Times New Roman" w:eastAsia="Times New Roman" w:hAnsi="Times New Roman" w:cs="Times New Roman"/>
                <w:color w:val="000000"/>
              </w:rPr>
              <w:t xml:space="preserve"> </w:t>
            </w:r>
          </w:p>
        </w:tc>
        <w:tc>
          <w:tcPr>
            <w:tcW w:w="1901" w:type="dxa"/>
            <w:tcBorders>
              <w:top w:val="nil"/>
              <w:left w:val="nil"/>
              <w:bottom w:val="single" w:sz="4" w:space="0" w:color="auto"/>
              <w:right w:val="single" w:sz="4" w:space="0" w:color="auto"/>
            </w:tcBorders>
            <w:shd w:val="clear" w:color="auto" w:fill="auto"/>
            <w:noWrap/>
            <w:vAlign w:val="bottom"/>
            <w:hideMark/>
          </w:tcPr>
          <w:p w14:paraId="79C1953A"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$ 208,186,889</w:t>
            </w:r>
            <w:r w:rsidRPr="0053150E">
              <w:rPr>
                <w:rFonts w:ascii="Times New Roman" w:eastAsia="Times New Roman" w:hAnsi="Times New Roman" w:cs="Times New Roman"/>
                <w:color w:val="000000"/>
              </w:rPr>
              <w:t xml:space="preserve"> </w:t>
            </w:r>
          </w:p>
        </w:tc>
      </w:tr>
      <w:tr w:rsidR="00A904B0" w:rsidRPr="0053150E" w14:paraId="70D9C29C" w14:textId="77777777" w:rsidTr="00CB320C">
        <w:trPr>
          <w:trHeight w:val="208"/>
        </w:trPr>
        <w:tc>
          <w:tcPr>
            <w:tcW w:w="1710" w:type="dxa"/>
            <w:vMerge w:val="restart"/>
            <w:tcBorders>
              <w:top w:val="nil"/>
              <w:left w:val="single" w:sz="4" w:space="0" w:color="auto"/>
              <w:bottom w:val="single" w:sz="4" w:space="0" w:color="000000"/>
              <w:right w:val="nil"/>
            </w:tcBorders>
            <w:shd w:val="clear" w:color="auto" w:fill="auto"/>
            <w:noWrap/>
            <w:hideMark/>
          </w:tcPr>
          <w:p w14:paraId="55AB824D" w14:textId="77777777" w:rsidR="00A904B0" w:rsidRPr="0053150E" w:rsidRDefault="00A904B0" w:rsidP="00E201B6">
            <w:pPr>
              <w:spacing w:after="0" w:line="240" w:lineRule="auto"/>
              <w:rPr>
                <w:rFonts w:ascii="Times New Roman" w:eastAsia="Times New Roman" w:hAnsi="Times New Roman" w:cs="Times New Roman"/>
                <w:b/>
                <w:bCs/>
                <w:color w:val="000000"/>
              </w:rPr>
            </w:pPr>
            <w:r w:rsidRPr="0053150E">
              <w:rPr>
                <w:rFonts w:ascii="Times New Roman" w:eastAsia="Times New Roman" w:hAnsi="Times New Roman" w:cs="Times New Roman"/>
                <w:b/>
                <w:bCs/>
                <w:color w:val="000000"/>
              </w:rPr>
              <w:t>Component 1</w:t>
            </w:r>
          </w:p>
        </w:tc>
        <w:tc>
          <w:tcPr>
            <w:tcW w:w="2779" w:type="dxa"/>
            <w:tcBorders>
              <w:top w:val="nil"/>
              <w:left w:val="nil"/>
              <w:bottom w:val="nil"/>
              <w:right w:val="nil"/>
            </w:tcBorders>
            <w:shd w:val="clear" w:color="auto" w:fill="auto"/>
            <w:noWrap/>
            <w:vAlign w:val="bottom"/>
            <w:hideMark/>
          </w:tcPr>
          <w:p w14:paraId="2FB2AA7A" w14:textId="77777777" w:rsidR="00A904B0" w:rsidRPr="0053150E" w:rsidRDefault="00A904B0" w:rsidP="00E201B6">
            <w:pPr>
              <w:spacing w:after="0" w:line="240" w:lineRule="auto"/>
              <w:rPr>
                <w:rFonts w:ascii="Times New Roman" w:eastAsia="Times New Roman" w:hAnsi="Times New Roman" w:cs="Times New Roman"/>
                <w:color w:val="000000"/>
              </w:rPr>
            </w:pPr>
            <w:r w:rsidRPr="0053150E">
              <w:rPr>
                <w:rFonts w:ascii="Times New Roman" w:eastAsia="Times New Roman" w:hAnsi="Times New Roman" w:cs="Times New Roman"/>
                <w:color w:val="000000"/>
              </w:rPr>
              <w:t>Benefit cost ratio (BCR)</w:t>
            </w:r>
          </w:p>
        </w:tc>
        <w:tc>
          <w:tcPr>
            <w:tcW w:w="1879" w:type="dxa"/>
            <w:tcBorders>
              <w:top w:val="nil"/>
              <w:left w:val="nil"/>
              <w:bottom w:val="nil"/>
              <w:right w:val="nil"/>
            </w:tcBorders>
            <w:shd w:val="clear" w:color="auto" w:fill="auto"/>
            <w:noWrap/>
            <w:vAlign w:val="bottom"/>
            <w:hideMark/>
          </w:tcPr>
          <w:p w14:paraId="7442D060"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16.13</w:t>
            </w:r>
          </w:p>
        </w:tc>
        <w:tc>
          <w:tcPr>
            <w:tcW w:w="1790" w:type="dxa"/>
            <w:tcBorders>
              <w:top w:val="nil"/>
              <w:left w:val="nil"/>
              <w:bottom w:val="nil"/>
              <w:right w:val="nil"/>
            </w:tcBorders>
            <w:shd w:val="clear" w:color="auto" w:fill="auto"/>
            <w:noWrap/>
            <w:vAlign w:val="bottom"/>
            <w:hideMark/>
          </w:tcPr>
          <w:p w14:paraId="4240ECB5"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7.43</w:t>
            </w:r>
          </w:p>
        </w:tc>
        <w:tc>
          <w:tcPr>
            <w:tcW w:w="1901" w:type="dxa"/>
            <w:tcBorders>
              <w:top w:val="nil"/>
              <w:left w:val="nil"/>
              <w:bottom w:val="nil"/>
              <w:right w:val="single" w:sz="4" w:space="0" w:color="auto"/>
            </w:tcBorders>
            <w:shd w:val="clear" w:color="auto" w:fill="auto"/>
            <w:noWrap/>
            <w:vAlign w:val="bottom"/>
            <w:hideMark/>
          </w:tcPr>
          <w:p w14:paraId="4FC5C314"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23.56</w:t>
            </w:r>
          </w:p>
        </w:tc>
      </w:tr>
      <w:tr w:rsidR="00A904B0" w:rsidRPr="0053150E" w14:paraId="4B6B227F" w14:textId="77777777" w:rsidTr="00CB320C">
        <w:trPr>
          <w:trHeight w:val="208"/>
        </w:trPr>
        <w:tc>
          <w:tcPr>
            <w:tcW w:w="1710" w:type="dxa"/>
            <w:vMerge/>
            <w:tcBorders>
              <w:top w:val="nil"/>
              <w:left w:val="single" w:sz="4" w:space="0" w:color="auto"/>
              <w:bottom w:val="single" w:sz="4" w:space="0" w:color="000000"/>
              <w:right w:val="nil"/>
            </w:tcBorders>
            <w:vAlign w:val="center"/>
            <w:hideMark/>
          </w:tcPr>
          <w:p w14:paraId="6D0BCD89" w14:textId="77777777" w:rsidR="00A904B0" w:rsidRPr="0053150E" w:rsidRDefault="00A904B0" w:rsidP="00E201B6">
            <w:pPr>
              <w:spacing w:after="0" w:line="240" w:lineRule="auto"/>
              <w:rPr>
                <w:rFonts w:ascii="Times New Roman" w:eastAsia="Times New Roman" w:hAnsi="Times New Roman" w:cs="Times New Roman"/>
                <w:b/>
                <w:bCs/>
                <w:color w:val="000000"/>
              </w:rPr>
            </w:pPr>
          </w:p>
        </w:tc>
        <w:tc>
          <w:tcPr>
            <w:tcW w:w="2779" w:type="dxa"/>
            <w:tcBorders>
              <w:top w:val="nil"/>
              <w:left w:val="nil"/>
              <w:bottom w:val="nil"/>
              <w:right w:val="nil"/>
            </w:tcBorders>
            <w:shd w:val="clear" w:color="auto" w:fill="auto"/>
            <w:noWrap/>
            <w:vAlign w:val="bottom"/>
            <w:hideMark/>
          </w:tcPr>
          <w:p w14:paraId="78D8EC23" w14:textId="77777777" w:rsidR="00A904B0" w:rsidRPr="0053150E" w:rsidRDefault="00A904B0" w:rsidP="00E201B6">
            <w:pPr>
              <w:spacing w:after="0" w:line="240" w:lineRule="auto"/>
              <w:rPr>
                <w:rFonts w:ascii="Times New Roman" w:eastAsia="Times New Roman" w:hAnsi="Times New Roman" w:cs="Times New Roman"/>
                <w:color w:val="000000"/>
              </w:rPr>
            </w:pPr>
            <w:r w:rsidRPr="0053150E">
              <w:rPr>
                <w:rFonts w:ascii="Times New Roman" w:eastAsia="Times New Roman" w:hAnsi="Times New Roman" w:cs="Times New Roman"/>
                <w:color w:val="000000"/>
              </w:rPr>
              <w:t>Internal rate of return (IRR)</w:t>
            </w:r>
          </w:p>
        </w:tc>
        <w:tc>
          <w:tcPr>
            <w:tcW w:w="1879" w:type="dxa"/>
            <w:tcBorders>
              <w:top w:val="nil"/>
              <w:left w:val="nil"/>
              <w:bottom w:val="nil"/>
              <w:right w:val="nil"/>
            </w:tcBorders>
            <w:shd w:val="clear" w:color="auto" w:fill="auto"/>
            <w:noWrap/>
            <w:vAlign w:val="bottom"/>
            <w:hideMark/>
          </w:tcPr>
          <w:p w14:paraId="34E80628"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55%</w:t>
            </w:r>
          </w:p>
        </w:tc>
        <w:tc>
          <w:tcPr>
            <w:tcW w:w="1790" w:type="dxa"/>
            <w:tcBorders>
              <w:top w:val="nil"/>
              <w:left w:val="nil"/>
              <w:bottom w:val="nil"/>
              <w:right w:val="nil"/>
            </w:tcBorders>
            <w:shd w:val="clear" w:color="auto" w:fill="auto"/>
            <w:noWrap/>
            <w:vAlign w:val="bottom"/>
            <w:hideMark/>
          </w:tcPr>
          <w:p w14:paraId="444107B8"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33%</w:t>
            </w:r>
          </w:p>
        </w:tc>
        <w:tc>
          <w:tcPr>
            <w:tcW w:w="1901" w:type="dxa"/>
            <w:tcBorders>
              <w:top w:val="nil"/>
              <w:left w:val="nil"/>
              <w:bottom w:val="nil"/>
              <w:right w:val="single" w:sz="4" w:space="0" w:color="auto"/>
            </w:tcBorders>
            <w:shd w:val="clear" w:color="auto" w:fill="auto"/>
            <w:noWrap/>
            <w:vAlign w:val="bottom"/>
            <w:hideMark/>
          </w:tcPr>
          <w:p w14:paraId="0DD1F9DC"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67%</w:t>
            </w:r>
          </w:p>
        </w:tc>
      </w:tr>
      <w:tr w:rsidR="00A904B0" w:rsidRPr="0053150E" w14:paraId="26DF1688" w14:textId="77777777" w:rsidTr="00CB320C">
        <w:trPr>
          <w:trHeight w:val="208"/>
        </w:trPr>
        <w:tc>
          <w:tcPr>
            <w:tcW w:w="1710" w:type="dxa"/>
            <w:vMerge/>
            <w:tcBorders>
              <w:top w:val="nil"/>
              <w:left w:val="single" w:sz="4" w:space="0" w:color="auto"/>
              <w:bottom w:val="single" w:sz="4" w:space="0" w:color="000000"/>
              <w:right w:val="nil"/>
            </w:tcBorders>
            <w:vAlign w:val="center"/>
            <w:hideMark/>
          </w:tcPr>
          <w:p w14:paraId="6817371A" w14:textId="77777777" w:rsidR="00A904B0" w:rsidRPr="0053150E" w:rsidRDefault="00A904B0" w:rsidP="00E201B6">
            <w:pPr>
              <w:spacing w:after="0" w:line="240" w:lineRule="auto"/>
              <w:rPr>
                <w:rFonts w:ascii="Times New Roman" w:eastAsia="Times New Roman" w:hAnsi="Times New Roman" w:cs="Times New Roman"/>
                <w:b/>
                <w:bCs/>
                <w:color w:val="000000"/>
              </w:rPr>
            </w:pPr>
          </w:p>
        </w:tc>
        <w:tc>
          <w:tcPr>
            <w:tcW w:w="2779" w:type="dxa"/>
            <w:tcBorders>
              <w:top w:val="nil"/>
              <w:left w:val="nil"/>
              <w:bottom w:val="single" w:sz="4" w:space="0" w:color="auto"/>
              <w:right w:val="nil"/>
            </w:tcBorders>
            <w:shd w:val="clear" w:color="auto" w:fill="auto"/>
            <w:noWrap/>
            <w:vAlign w:val="bottom"/>
            <w:hideMark/>
          </w:tcPr>
          <w:p w14:paraId="5DA9DFE6" w14:textId="77777777" w:rsidR="00A904B0" w:rsidRPr="0053150E" w:rsidRDefault="00A904B0" w:rsidP="00E201B6">
            <w:pPr>
              <w:spacing w:after="0" w:line="240" w:lineRule="auto"/>
              <w:rPr>
                <w:rFonts w:ascii="Times New Roman" w:eastAsia="Times New Roman" w:hAnsi="Times New Roman" w:cs="Times New Roman"/>
                <w:color w:val="000000"/>
              </w:rPr>
            </w:pPr>
            <w:r w:rsidRPr="0053150E">
              <w:rPr>
                <w:rFonts w:ascii="Times New Roman" w:eastAsia="Times New Roman" w:hAnsi="Times New Roman" w:cs="Times New Roman"/>
                <w:color w:val="000000"/>
              </w:rPr>
              <w:t>Net present value (NPV)</w:t>
            </w:r>
          </w:p>
        </w:tc>
        <w:tc>
          <w:tcPr>
            <w:tcW w:w="1879" w:type="dxa"/>
            <w:tcBorders>
              <w:top w:val="nil"/>
              <w:left w:val="nil"/>
              <w:bottom w:val="single" w:sz="4" w:space="0" w:color="auto"/>
              <w:right w:val="nil"/>
            </w:tcBorders>
            <w:shd w:val="clear" w:color="auto" w:fill="auto"/>
            <w:noWrap/>
            <w:vAlign w:val="bottom"/>
            <w:hideMark/>
          </w:tcPr>
          <w:p w14:paraId="58FF5345"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   26,946,719</w:t>
            </w:r>
            <w:r w:rsidRPr="0053150E">
              <w:rPr>
                <w:rFonts w:ascii="Times New Roman" w:eastAsia="Times New Roman" w:hAnsi="Times New Roman" w:cs="Times New Roman"/>
                <w:color w:val="000000"/>
              </w:rPr>
              <w:t xml:space="preserve"> </w:t>
            </w:r>
          </w:p>
        </w:tc>
        <w:tc>
          <w:tcPr>
            <w:tcW w:w="1790" w:type="dxa"/>
            <w:tcBorders>
              <w:top w:val="nil"/>
              <w:left w:val="nil"/>
              <w:bottom w:val="single" w:sz="4" w:space="0" w:color="auto"/>
              <w:right w:val="nil"/>
            </w:tcBorders>
            <w:shd w:val="clear" w:color="auto" w:fill="auto"/>
            <w:noWrap/>
            <w:vAlign w:val="bottom"/>
            <w:hideMark/>
          </w:tcPr>
          <w:p w14:paraId="562A5A4D"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$ 10,983,246</w:t>
            </w:r>
          </w:p>
        </w:tc>
        <w:tc>
          <w:tcPr>
            <w:tcW w:w="1901" w:type="dxa"/>
            <w:tcBorders>
              <w:top w:val="nil"/>
              <w:left w:val="nil"/>
              <w:bottom w:val="single" w:sz="4" w:space="0" w:color="auto"/>
              <w:right w:val="single" w:sz="4" w:space="0" w:color="auto"/>
            </w:tcBorders>
            <w:shd w:val="clear" w:color="auto" w:fill="auto"/>
            <w:noWrap/>
            <w:vAlign w:val="bottom"/>
            <w:hideMark/>
          </w:tcPr>
          <w:p w14:paraId="31D72CD1" w14:textId="77777777" w:rsidR="00A904B0" w:rsidRPr="0053150E" w:rsidRDefault="00A904B0" w:rsidP="00E201B6">
            <w:pPr>
              <w:spacing w:after="0" w:line="240" w:lineRule="auto"/>
              <w:jc w:val="center"/>
              <w:rPr>
                <w:rFonts w:ascii="Times New Roman" w:eastAsia="Times New Roman" w:hAnsi="Times New Roman" w:cs="Times New Roman"/>
                <w:color w:val="000000"/>
              </w:rPr>
            </w:pPr>
            <w:r w:rsidRPr="0053150E">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32,871,148</w:t>
            </w:r>
            <w:r w:rsidRPr="0053150E">
              <w:rPr>
                <w:rFonts w:ascii="Times New Roman" w:eastAsia="Times New Roman" w:hAnsi="Times New Roman" w:cs="Times New Roman"/>
                <w:color w:val="000000"/>
              </w:rPr>
              <w:t xml:space="preserve"> </w:t>
            </w:r>
          </w:p>
        </w:tc>
      </w:tr>
    </w:tbl>
    <w:p w14:paraId="5770399E" w14:textId="4D299C7B" w:rsidR="00A904B0" w:rsidRDefault="00A904B0" w:rsidP="0008533A">
      <w:pPr>
        <w:rPr>
          <w:rFonts w:ascii="Times New Roman" w:hAnsi="Times New Roman" w:cs="Times New Roman"/>
          <w:sz w:val="24"/>
          <w:szCs w:val="24"/>
        </w:rPr>
      </w:pPr>
    </w:p>
    <w:p w14:paraId="6DF38B23" w14:textId="77777777" w:rsidR="00461F77" w:rsidRDefault="00461F77" w:rsidP="0008533A">
      <w:pPr>
        <w:rPr>
          <w:rFonts w:ascii="Times New Roman" w:hAnsi="Times New Roman" w:cs="Times New Roman"/>
          <w:sz w:val="24"/>
          <w:szCs w:val="24"/>
        </w:rPr>
        <w:sectPr w:rsidR="00461F77">
          <w:pgSz w:w="12240" w:h="15840"/>
          <w:pgMar w:top="1440" w:right="1440" w:bottom="1440" w:left="1440" w:header="720" w:footer="720" w:gutter="0"/>
          <w:cols w:space="720"/>
          <w:docGrid w:linePitch="360"/>
        </w:sectPr>
      </w:pPr>
    </w:p>
    <w:p w14:paraId="5064F6C5" w14:textId="0616BA79" w:rsidR="00461F77" w:rsidRDefault="00461F77" w:rsidP="0008533A">
      <w:pPr>
        <w:rPr>
          <w:rFonts w:ascii="Times New Roman" w:hAnsi="Times New Roman" w:cs="Times New Roman"/>
          <w:sz w:val="24"/>
          <w:szCs w:val="24"/>
        </w:rPr>
      </w:pPr>
      <w:r w:rsidRPr="00660E1A">
        <w:rPr>
          <w:rFonts w:ascii="Times New Roman" w:hAnsi="Times New Roman" w:cs="Times New Roman"/>
          <w:b/>
          <w:sz w:val="24"/>
          <w:szCs w:val="24"/>
        </w:rPr>
        <w:lastRenderedPageBreak/>
        <w:t>Annex 1</w:t>
      </w:r>
      <w:r>
        <w:rPr>
          <w:rFonts w:ascii="Times New Roman" w:hAnsi="Times New Roman" w:cs="Times New Roman"/>
          <w:sz w:val="24"/>
          <w:szCs w:val="24"/>
        </w:rPr>
        <w:t>: Draft budget for the potential project on Improving Quality and Efficiency of the Health System in Georgia</w:t>
      </w:r>
    </w:p>
    <w:tbl>
      <w:tblPr>
        <w:tblStyle w:val="TableGrid"/>
        <w:tblW w:w="13041" w:type="dxa"/>
        <w:tblLayout w:type="fixed"/>
        <w:tblLook w:val="04A0" w:firstRow="1" w:lastRow="0" w:firstColumn="1" w:lastColumn="0" w:noHBand="0" w:noVBand="1"/>
      </w:tblPr>
      <w:tblGrid>
        <w:gridCol w:w="6799"/>
        <w:gridCol w:w="3549"/>
        <w:gridCol w:w="1417"/>
        <w:gridCol w:w="1276"/>
      </w:tblGrid>
      <w:tr w:rsidR="00810F77" w14:paraId="13B92A47" w14:textId="77777777" w:rsidTr="00E201B6">
        <w:tc>
          <w:tcPr>
            <w:tcW w:w="6799" w:type="dxa"/>
            <w:shd w:val="clear" w:color="auto" w:fill="E7E6E6" w:themeFill="background2"/>
          </w:tcPr>
          <w:p w14:paraId="3FF9387F" w14:textId="77777777" w:rsidR="00810F77" w:rsidRPr="0042071C" w:rsidRDefault="00810F77" w:rsidP="00E201B6">
            <w:pPr>
              <w:rPr>
                <w:rFonts w:ascii="Calibri" w:eastAsia="Times New Roman" w:hAnsi="Calibri" w:cs="Calibri"/>
                <w:b/>
                <w:color w:val="000000"/>
              </w:rPr>
            </w:pPr>
            <w:r w:rsidRPr="0042071C">
              <w:rPr>
                <w:rFonts w:ascii="Calibri" w:eastAsia="Times New Roman" w:hAnsi="Calibri" w:cs="Calibri"/>
                <w:b/>
                <w:color w:val="000000"/>
              </w:rPr>
              <w:t xml:space="preserve">Components and subcomponents </w:t>
            </w:r>
          </w:p>
        </w:tc>
        <w:tc>
          <w:tcPr>
            <w:tcW w:w="3549" w:type="dxa"/>
            <w:shd w:val="clear" w:color="auto" w:fill="E7E6E6" w:themeFill="background2"/>
          </w:tcPr>
          <w:p w14:paraId="56F9449D" w14:textId="77777777" w:rsidR="00810F77" w:rsidRPr="0042071C" w:rsidRDefault="00810F77" w:rsidP="00E201B6">
            <w:pPr>
              <w:rPr>
                <w:rFonts w:ascii="Calibri" w:eastAsia="Times New Roman" w:hAnsi="Calibri" w:cs="Calibri"/>
                <w:b/>
                <w:color w:val="000000"/>
              </w:rPr>
            </w:pPr>
            <w:r w:rsidRPr="0042071C">
              <w:rPr>
                <w:rFonts w:ascii="Calibri" w:eastAsia="Times New Roman" w:hAnsi="Calibri" w:cs="Calibri"/>
                <w:b/>
                <w:color w:val="000000"/>
              </w:rPr>
              <w:t>Procurement categories</w:t>
            </w:r>
          </w:p>
        </w:tc>
        <w:tc>
          <w:tcPr>
            <w:tcW w:w="1417" w:type="dxa"/>
            <w:shd w:val="clear" w:color="auto" w:fill="E7E6E6" w:themeFill="background2"/>
          </w:tcPr>
          <w:p w14:paraId="33CA2B21" w14:textId="77777777" w:rsidR="00810F77" w:rsidRPr="0042071C" w:rsidRDefault="00810F77" w:rsidP="00E201B6">
            <w:pPr>
              <w:rPr>
                <w:rFonts w:ascii="Calibri" w:eastAsia="Times New Roman" w:hAnsi="Calibri" w:cs="Calibri"/>
                <w:b/>
                <w:color w:val="000000"/>
              </w:rPr>
            </w:pPr>
            <w:r w:rsidRPr="0042071C">
              <w:rPr>
                <w:rFonts w:ascii="Calibri" w:eastAsia="Times New Roman" w:hAnsi="Calibri" w:cs="Calibri"/>
                <w:b/>
                <w:color w:val="000000"/>
              </w:rPr>
              <w:t>Estimated budget (USD)</w:t>
            </w:r>
          </w:p>
        </w:tc>
        <w:tc>
          <w:tcPr>
            <w:tcW w:w="1276" w:type="dxa"/>
            <w:shd w:val="clear" w:color="auto" w:fill="E7E6E6" w:themeFill="background2"/>
          </w:tcPr>
          <w:p w14:paraId="6DE560A2" w14:textId="77777777" w:rsidR="00810F77" w:rsidRPr="0042071C" w:rsidRDefault="00810F77" w:rsidP="00E201B6">
            <w:pPr>
              <w:rPr>
                <w:rFonts w:ascii="Calibri" w:eastAsia="Times New Roman" w:hAnsi="Calibri" w:cs="Calibri"/>
                <w:b/>
                <w:color w:val="000000"/>
              </w:rPr>
            </w:pPr>
            <w:r w:rsidRPr="0042071C">
              <w:rPr>
                <w:rFonts w:ascii="Calibri" w:eastAsia="Times New Roman" w:hAnsi="Calibri" w:cs="Calibri"/>
                <w:b/>
                <w:color w:val="000000"/>
              </w:rPr>
              <w:t xml:space="preserve">Percentage </w:t>
            </w:r>
          </w:p>
        </w:tc>
      </w:tr>
      <w:tr w:rsidR="00810F77" w14:paraId="6869308D" w14:textId="77777777" w:rsidTr="00E201B6">
        <w:trPr>
          <w:trHeight w:val="346"/>
        </w:trPr>
        <w:tc>
          <w:tcPr>
            <w:tcW w:w="6799" w:type="dxa"/>
          </w:tcPr>
          <w:p w14:paraId="4197B059" w14:textId="77777777" w:rsidR="00810F77" w:rsidRPr="0042071C" w:rsidRDefault="00810F77" w:rsidP="00E201B6">
            <w:pPr>
              <w:rPr>
                <w:rFonts w:ascii="Calibri" w:eastAsia="Times New Roman" w:hAnsi="Calibri" w:cs="Calibri"/>
                <w:b/>
                <w:color w:val="000000"/>
              </w:rPr>
            </w:pPr>
            <w:r w:rsidRPr="0042071C">
              <w:rPr>
                <w:rFonts w:ascii="Calibri" w:eastAsia="Times New Roman" w:hAnsi="Calibri" w:cs="Calibri"/>
                <w:b/>
                <w:color w:val="000000"/>
              </w:rPr>
              <w:t>Component 1: Strengthening health financing under UHC</w:t>
            </w:r>
          </w:p>
        </w:tc>
        <w:tc>
          <w:tcPr>
            <w:tcW w:w="3549" w:type="dxa"/>
          </w:tcPr>
          <w:p w14:paraId="735515E7" w14:textId="77777777" w:rsidR="00810F77" w:rsidRDefault="00810F77" w:rsidP="00E201B6"/>
        </w:tc>
        <w:tc>
          <w:tcPr>
            <w:tcW w:w="1417" w:type="dxa"/>
          </w:tcPr>
          <w:p w14:paraId="22363B60" w14:textId="77777777" w:rsidR="00810F77" w:rsidRPr="00B179F1" w:rsidRDefault="00810F77" w:rsidP="00E201B6">
            <w:pPr>
              <w:rPr>
                <w:b/>
              </w:rPr>
            </w:pPr>
            <w:r w:rsidRPr="00F42AB2">
              <w:rPr>
                <w:rFonts w:ascii="Calibri" w:eastAsia="Times New Roman" w:hAnsi="Calibri" w:cs="Calibri"/>
                <w:b/>
                <w:bCs/>
                <w:color w:val="000000"/>
              </w:rPr>
              <w:t>2,950,000</w:t>
            </w:r>
          </w:p>
        </w:tc>
        <w:tc>
          <w:tcPr>
            <w:tcW w:w="1276" w:type="dxa"/>
          </w:tcPr>
          <w:p w14:paraId="1590A07A" w14:textId="77777777" w:rsidR="00810F77" w:rsidRPr="00B179F1" w:rsidRDefault="00810F77" w:rsidP="00E201B6">
            <w:pPr>
              <w:rPr>
                <w:b/>
              </w:rPr>
            </w:pPr>
            <w:r w:rsidRPr="00F42AB2">
              <w:rPr>
                <w:rFonts w:ascii="Calibri" w:eastAsia="Times New Roman" w:hAnsi="Calibri" w:cs="Calibri"/>
                <w:b/>
                <w:bCs/>
                <w:color w:val="000000"/>
              </w:rPr>
              <w:t>100%</w:t>
            </w:r>
          </w:p>
        </w:tc>
      </w:tr>
      <w:tr w:rsidR="00810F77" w14:paraId="34A525A4" w14:textId="77777777" w:rsidTr="00E201B6">
        <w:trPr>
          <w:trHeight w:val="1601"/>
        </w:trPr>
        <w:tc>
          <w:tcPr>
            <w:tcW w:w="6799" w:type="dxa"/>
          </w:tcPr>
          <w:p w14:paraId="26786EF6"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i/>
                <w:color w:val="000000"/>
              </w:rPr>
              <w:t>Sub-component 1.1:</w:t>
            </w:r>
            <w:r w:rsidRPr="0042071C">
              <w:rPr>
                <w:rFonts w:ascii="Calibri" w:eastAsia="Times New Roman" w:hAnsi="Calibri" w:cs="Calibri"/>
                <w:color w:val="000000"/>
              </w:rPr>
              <w:t xml:space="preserve"> Develop and implement evidence-based long-term health financing strategy</w:t>
            </w:r>
          </w:p>
          <w:p w14:paraId="75458FC2" w14:textId="77777777" w:rsidR="00810F77" w:rsidRPr="0042071C" w:rsidRDefault="00810F77" w:rsidP="00E201B6">
            <w:pPr>
              <w:pStyle w:val="NoSpacing"/>
              <w:rPr>
                <w:rFonts w:ascii="Calibri" w:eastAsia="Times New Roman" w:hAnsi="Calibri" w:cs="Calibri"/>
                <w:color w:val="000000"/>
              </w:rPr>
            </w:pPr>
            <w:r w:rsidRPr="0042071C">
              <w:rPr>
                <w:rFonts w:ascii="Calibri" w:eastAsia="Times New Roman" w:hAnsi="Calibri" w:cs="Calibri"/>
                <w:i/>
                <w:color w:val="000000"/>
              </w:rPr>
              <w:t>Sub-component 1.2:</w:t>
            </w:r>
            <w:r w:rsidRPr="0042071C">
              <w:rPr>
                <w:rFonts w:ascii="Calibri" w:eastAsia="Times New Roman" w:hAnsi="Calibri" w:cs="Calibri"/>
                <w:color w:val="000000"/>
              </w:rPr>
              <w:t xml:space="preserve"> Implement holistic payment system reform that includes both hospitals and primary care providers</w:t>
            </w:r>
          </w:p>
          <w:p w14:paraId="08A8EEC1" w14:textId="77777777" w:rsidR="00810F77" w:rsidRPr="0042071C" w:rsidRDefault="00810F77" w:rsidP="00E201B6">
            <w:pPr>
              <w:pStyle w:val="NoSpacing"/>
              <w:rPr>
                <w:rFonts w:ascii="Calibri" w:eastAsia="Times New Roman" w:hAnsi="Calibri" w:cs="Calibri"/>
                <w:color w:val="000000"/>
              </w:rPr>
            </w:pPr>
            <w:r w:rsidRPr="0042071C">
              <w:rPr>
                <w:rFonts w:ascii="Calibri" w:eastAsia="Times New Roman" w:hAnsi="Calibri" w:cs="Calibri"/>
                <w:i/>
                <w:color w:val="000000"/>
              </w:rPr>
              <w:t>Sub-component 1.3:</w:t>
            </w:r>
            <w:r w:rsidRPr="0042071C">
              <w:rPr>
                <w:rFonts w:ascii="Calibri" w:eastAsia="Times New Roman" w:hAnsi="Calibri" w:cs="Calibri"/>
                <w:color w:val="000000"/>
              </w:rPr>
              <w:t xml:space="preserve"> Strengthen strategic purchasing capacity of the SSA</w:t>
            </w:r>
          </w:p>
        </w:tc>
        <w:tc>
          <w:tcPr>
            <w:tcW w:w="3549" w:type="dxa"/>
          </w:tcPr>
          <w:p w14:paraId="53DC1D88" w14:textId="77777777" w:rsidR="00810F77" w:rsidRPr="0042071C" w:rsidRDefault="00810F77" w:rsidP="00E201B6">
            <w:pPr>
              <w:pStyle w:val="NoSpacing"/>
              <w:rPr>
                <w:rFonts w:ascii="Calibri" w:eastAsia="Times New Roman" w:hAnsi="Calibri" w:cs="Calibri"/>
                <w:color w:val="000000"/>
              </w:rPr>
            </w:pPr>
            <w:r w:rsidRPr="0042071C">
              <w:rPr>
                <w:rFonts w:ascii="Calibri" w:eastAsia="Times New Roman" w:hAnsi="Calibri" w:cs="Calibri"/>
                <w:color w:val="000000"/>
              </w:rPr>
              <w:t>FTA and LTA</w:t>
            </w:r>
          </w:p>
          <w:p w14:paraId="3E65C5D2" w14:textId="77777777" w:rsidR="00810F77" w:rsidRPr="0042071C" w:rsidRDefault="00810F77" w:rsidP="00810F77">
            <w:pPr>
              <w:pStyle w:val="NoSpacing"/>
              <w:numPr>
                <w:ilvl w:val="0"/>
                <w:numId w:val="4"/>
              </w:numPr>
              <w:rPr>
                <w:rFonts w:ascii="Calibri" w:eastAsia="Times New Roman" w:hAnsi="Calibri" w:cs="Calibri"/>
                <w:color w:val="000000"/>
              </w:rPr>
            </w:pPr>
            <w:r w:rsidRPr="0042071C">
              <w:rPr>
                <w:rFonts w:ascii="Calibri" w:eastAsia="Times New Roman" w:hAnsi="Calibri" w:cs="Calibri"/>
                <w:color w:val="000000"/>
              </w:rPr>
              <w:t>DRG – 1 FTA and 3 LTA</w:t>
            </w:r>
          </w:p>
          <w:p w14:paraId="6162D3D7" w14:textId="77777777" w:rsidR="00810F77" w:rsidRPr="0042071C" w:rsidRDefault="00810F77" w:rsidP="00810F77">
            <w:pPr>
              <w:pStyle w:val="NoSpacing"/>
              <w:numPr>
                <w:ilvl w:val="0"/>
                <w:numId w:val="4"/>
              </w:numPr>
              <w:rPr>
                <w:rFonts w:ascii="Calibri" w:eastAsia="Times New Roman" w:hAnsi="Calibri" w:cs="Calibri"/>
                <w:color w:val="000000"/>
              </w:rPr>
            </w:pPr>
            <w:r w:rsidRPr="0042071C">
              <w:rPr>
                <w:rFonts w:ascii="Calibri" w:eastAsia="Times New Roman" w:hAnsi="Calibri" w:cs="Calibri"/>
                <w:color w:val="000000"/>
              </w:rPr>
              <w:t>Pharma policy and pricing strategy – FTA and 1 LTA</w:t>
            </w:r>
          </w:p>
          <w:p w14:paraId="2765D50B" w14:textId="77777777" w:rsidR="00810F77" w:rsidRDefault="00810F77" w:rsidP="00810F77">
            <w:pPr>
              <w:pStyle w:val="NoSpacing"/>
              <w:numPr>
                <w:ilvl w:val="0"/>
                <w:numId w:val="4"/>
              </w:numPr>
            </w:pPr>
            <w:r w:rsidRPr="0042071C">
              <w:rPr>
                <w:rFonts w:ascii="Calibri" w:eastAsia="Times New Roman" w:hAnsi="Calibri" w:cs="Calibri"/>
                <w:color w:val="000000"/>
              </w:rPr>
              <w:t>SSA – 1 FTA and 2 LTA</w:t>
            </w:r>
          </w:p>
        </w:tc>
        <w:tc>
          <w:tcPr>
            <w:tcW w:w="1417" w:type="dxa"/>
          </w:tcPr>
          <w:p w14:paraId="08AADD18" w14:textId="77777777" w:rsidR="00810F77" w:rsidRPr="00F42AB2" w:rsidRDefault="00810F77" w:rsidP="00E201B6">
            <w:pPr>
              <w:rPr>
                <w:rFonts w:ascii="Calibri" w:eastAsia="Times New Roman" w:hAnsi="Calibri" w:cs="Calibri"/>
                <w:color w:val="000000"/>
              </w:rPr>
            </w:pPr>
            <w:r w:rsidRPr="00F42AB2">
              <w:rPr>
                <w:rFonts w:ascii="Calibri" w:eastAsia="Times New Roman" w:hAnsi="Calibri" w:cs="Calibri"/>
                <w:color w:val="000000"/>
              </w:rPr>
              <w:t>2,025,000</w:t>
            </w:r>
          </w:p>
          <w:p w14:paraId="1DF089E2" w14:textId="77777777" w:rsidR="00810F77" w:rsidRPr="00F42AB2" w:rsidRDefault="00810F77" w:rsidP="00E201B6">
            <w:pPr>
              <w:rPr>
                <w:rFonts w:ascii="Calibri" w:eastAsia="Times New Roman" w:hAnsi="Calibri" w:cs="Calibri"/>
                <w:color w:val="000000"/>
              </w:rPr>
            </w:pPr>
          </w:p>
        </w:tc>
        <w:tc>
          <w:tcPr>
            <w:tcW w:w="1276" w:type="dxa"/>
          </w:tcPr>
          <w:p w14:paraId="2FE6645E" w14:textId="77777777" w:rsidR="00810F77" w:rsidRPr="00F42AB2" w:rsidRDefault="00810F77" w:rsidP="00E201B6">
            <w:pPr>
              <w:rPr>
                <w:rFonts w:ascii="Calibri" w:eastAsia="Times New Roman" w:hAnsi="Calibri" w:cs="Calibri"/>
                <w:color w:val="000000"/>
              </w:rPr>
            </w:pPr>
            <w:r w:rsidRPr="00F42AB2">
              <w:rPr>
                <w:rFonts w:ascii="Calibri" w:eastAsia="Times New Roman" w:hAnsi="Calibri" w:cs="Calibri"/>
                <w:color w:val="000000"/>
              </w:rPr>
              <w:t>69%</w:t>
            </w:r>
          </w:p>
        </w:tc>
      </w:tr>
      <w:tr w:rsidR="00810F77" w14:paraId="6177D91E" w14:textId="77777777" w:rsidTr="00E201B6">
        <w:tc>
          <w:tcPr>
            <w:tcW w:w="6799" w:type="dxa"/>
          </w:tcPr>
          <w:p w14:paraId="3EA1E6F6" w14:textId="77777777" w:rsidR="00810F77" w:rsidRPr="009051DD" w:rsidRDefault="00810F77" w:rsidP="00E201B6">
            <w:pPr>
              <w:rPr>
                <w:i/>
                <w:iCs/>
              </w:rPr>
            </w:pPr>
          </w:p>
        </w:tc>
        <w:tc>
          <w:tcPr>
            <w:tcW w:w="3549" w:type="dxa"/>
          </w:tcPr>
          <w:p w14:paraId="642631CC" w14:textId="77777777" w:rsidR="00810F77" w:rsidRPr="0042071C" w:rsidRDefault="00810F77" w:rsidP="00E201B6">
            <w:pPr>
              <w:pStyle w:val="NoSpacing"/>
              <w:rPr>
                <w:rFonts w:ascii="Calibri" w:eastAsia="Times New Roman" w:hAnsi="Calibri" w:cs="Calibri"/>
                <w:color w:val="000000"/>
              </w:rPr>
            </w:pPr>
            <w:r w:rsidRPr="0042071C">
              <w:rPr>
                <w:rFonts w:ascii="Calibri" w:eastAsia="Times New Roman" w:hAnsi="Calibri" w:cs="Calibri"/>
                <w:color w:val="000000"/>
              </w:rPr>
              <w:t>Trainings</w:t>
            </w:r>
          </w:p>
        </w:tc>
        <w:tc>
          <w:tcPr>
            <w:tcW w:w="1417" w:type="dxa"/>
          </w:tcPr>
          <w:p w14:paraId="2851556C" w14:textId="77777777" w:rsidR="00810F77" w:rsidRPr="00F42AB2" w:rsidRDefault="00810F77" w:rsidP="00E201B6">
            <w:pPr>
              <w:rPr>
                <w:rFonts w:ascii="Calibri" w:eastAsia="Times New Roman" w:hAnsi="Calibri" w:cs="Calibri"/>
                <w:color w:val="000000"/>
              </w:rPr>
            </w:pPr>
            <w:r w:rsidRPr="00F42AB2">
              <w:rPr>
                <w:rFonts w:ascii="Calibri" w:eastAsia="Times New Roman" w:hAnsi="Calibri" w:cs="Calibri"/>
                <w:color w:val="000000"/>
              </w:rPr>
              <w:t>300,000</w:t>
            </w:r>
          </w:p>
        </w:tc>
        <w:tc>
          <w:tcPr>
            <w:tcW w:w="1276" w:type="dxa"/>
          </w:tcPr>
          <w:p w14:paraId="5346E2CE" w14:textId="77777777" w:rsidR="00810F77" w:rsidRPr="00F42AB2" w:rsidRDefault="00810F77" w:rsidP="00E201B6">
            <w:pPr>
              <w:rPr>
                <w:rFonts w:ascii="Calibri" w:eastAsia="Times New Roman" w:hAnsi="Calibri" w:cs="Calibri"/>
                <w:color w:val="000000"/>
              </w:rPr>
            </w:pPr>
            <w:r w:rsidRPr="00F42AB2">
              <w:rPr>
                <w:rFonts w:ascii="Calibri" w:eastAsia="Times New Roman" w:hAnsi="Calibri" w:cs="Calibri"/>
                <w:color w:val="000000"/>
              </w:rPr>
              <w:t>10%</w:t>
            </w:r>
          </w:p>
        </w:tc>
      </w:tr>
      <w:tr w:rsidR="00810F77" w14:paraId="08F744DD" w14:textId="77777777" w:rsidTr="00E201B6">
        <w:tc>
          <w:tcPr>
            <w:tcW w:w="6799" w:type="dxa"/>
          </w:tcPr>
          <w:p w14:paraId="4DD13D66" w14:textId="77777777" w:rsidR="00810F77" w:rsidRPr="009051DD" w:rsidRDefault="00810F77" w:rsidP="00E201B6">
            <w:pPr>
              <w:rPr>
                <w:i/>
                <w:iCs/>
              </w:rPr>
            </w:pPr>
          </w:p>
        </w:tc>
        <w:tc>
          <w:tcPr>
            <w:tcW w:w="3549" w:type="dxa"/>
          </w:tcPr>
          <w:p w14:paraId="6F2D424D" w14:textId="77777777" w:rsidR="00810F77" w:rsidRPr="0042071C" w:rsidRDefault="00810F77" w:rsidP="00E201B6">
            <w:pPr>
              <w:pStyle w:val="NoSpacing"/>
              <w:rPr>
                <w:rFonts w:ascii="Calibri" w:eastAsia="Times New Roman" w:hAnsi="Calibri" w:cs="Calibri"/>
                <w:color w:val="000000"/>
              </w:rPr>
            </w:pPr>
            <w:r w:rsidRPr="0042071C">
              <w:rPr>
                <w:rFonts w:ascii="Calibri" w:eastAsia="Times New Roman" w:hAnsi="Calibri" w:cs="Calibri"/>
                <w:color w:val="000000"/>
              </w:rPr>
              <w:t>Investment in hardware and software to upgrade SSA IT infrastructure</w:t>
            </w:r>
          </w:p>
        </w:tc>
        <w:tc>
          <w:tcPr>
            <w:tcW w:w="1417" w:type="dxa"/>
          </w:tcPr>
          <w:p w14:paraId="3655726B" w14:textId="77777777" w:rsidR="00810F77" w:rsidRPr="00F42AB2" w:rsidRDefault="00810F77" w:rsidP="00E201B6">
            <w:pPr>
              <w:rPr>
                <w:rFonts w:ascii="Calibri" w:eastAsia="Times New Roman" w:hAnsi="Calibri" w:cs="Calibri"/>
                <w:color w:val="000000"/>
              </w:rPr>
            </w:pPr>
            <w:r w:rsidRPr="00F42AB2">
              <w:rPr>
                <w:rFonts w:ascii="Calibri" w:eastAsia="Times New Roman" w:hAnsi="Calibri" w:cs="Calibri"/>
                <w:color w:val="000000"/>
              </w:rPr>
              <w:t xml:space="preserve">500,000 </w:t>
            </w:r>
          </w:p>
        </w:tc>
        <w:tc>
          <w:tcPr>
            <w:tcW w:w="1276" w:type="dxa"/>
          </w:tcPr>
          <w:p w14:paraId="071342D3" w14:textId="77777777" w:rsidR="00810F77" w:rsidRPr="00F42AB2" w:rsidRDefault="00810F77" w:rsidP="00E201B6">
            <w:pPr>
              <w:rPr>
                <w:rFonts w:ascii="Calibri" w:eastAsia="Times New Roman" w:hAnsi="Calibri" w:cs="Calibri"/>
                <w:color w:val="000000"/>
              </w:rPr>
            </w:pPr>
            <w:r w:rsidRPr="00F42AB2">
              <w:rPr>
                <w:rFonts w:ascii="Calibri" w:eastAsia="Times New Roman" w:hAnsi="Calibri" w:cs="Calibri"/>
                <w:color w:val="000000"/>
              </w:rPr>
              <w:t>17%</w:t>
            </w:r>
          </w:p>
        </w:tc>
      </w:tr>
      <w:tr w:rsidR="00810F77" w14:paraId="76E451A1" w14:textId="77777777" w:rsidTr="00E201B6">
        <w:tc>
          <w:tcPr>
            <w:tcW w:w="6799" w:type="dxa"/>
          </w:tcPr>
          <w:p w14:paraId="11198C35" w14:textId="77777777" w:rsidR="00810F77" w:rsidRPr="009051DD" w:rsidRDefault="00810F77" w:rsidP="00E201B6">
            <w:pPr>
              <w:rPr>
                <w:i/>
                <w:iCs/>
              </w:rPr>
            </w:pPr>
          </w:p>
        </w:tc>
        <w:tc>
          <w:tcPr>
            <w:tcW w:w="3549" w:type="dxa"/>
          </w:tcPr>
          <w:p w14:paraId="1C249064" w14:textId="77777777" w:rsidR="00810F77" w:rsidRPr="0042071C" w:rsidRDefault="00810F77" w:rsidP="00E201B6">
            <w:pPr>
              <w:pStyle w:val="NoSpacing"/>
              <w:rPr>
                <w:rFonts w:ascii="Calibri" w:eastAsia="Times New Roman" w:hAnsi="Calibri" w:cs="Calibri"/>
                <w:color w:val="000000"/>
              </w:rPr>
            </w:pPr>
            <w:r w:rsidRPr="0042071C">
              <w:rPr>
                <w:rFonts w:ascii="Calibri" w:eastAsia="Times New Roman" w:hAnsi="Calibri" w:cs="Calibri"/>
                <w:color w:val="000000"/>
              </w:rPr>
              <w:t>License for DRG (25,000 per year for 5 years)</w:t>
            </w:r>
          </w:p>
        </w:tc>
        <w:tc>
          <w:tcPr>
            <w:tcW w:w="1417" w:type="dxa"/>
          </w:tcPr>
          <w:p w14:paraId="41C41C94" w14:textId="77777777" w:rsidR="00810F77" w:rsidRPr="00F42AB2" w:rsidRDefault="00810F77" w:rsidP="00E201B6">
            <w:pPr>
              <w:rPr>
                <w:rFonts w:ascii="Calibri" w:eastAsia="Times New Roman" w:hAnsi="Calibri" w:cs="Calibri"/>
                <w:color w:val="000000"/>
              </w:rPr>
            </w:pPr>
            <w:r w:rsidRPr="00F42AB2">
              <w:rPr>
                <w:rFonts w:ascii="Calibri" w:eastAsia="Times New Roman" w:hAnsi="Calibri" w:cs="Calibri"/>
                <w:color w:val="000000"/>
              </w:rPr>
              <w:t xml:space="preserve">125,000 </w:t>
            </w:r>
          </w:p>
        </w:tc>
        <w:tc>
          <w:tcPr>
            <w:tcW w:w="1276" w:type="dxa"/>
          </w:tcPr>
          <w:p w14:paraId="1B8921D9" w14:textId="77777777" w:rsidR="00810F77" w:rsidRPr="00F42AB2" w:rsidRDefault="00810F77" w:rsidP="00E201B6">
            <w:pPr>
              <w:rPr>
                <w:rFonts w:ascii="Calibri" w:eastAsia="Times New Roman" w:hAnsi="Calibri" w:cs="Calibri"/>
                <w:color w:val="000000"/>
              </w:rPr>
            </w:pPr>
            <w:r w:rsidRPr="00F42AB2">
              <w:rPr>
                <w:rFonts w:ascii="Calibri" w:eastAsia="Times New Roman" w:hAnsi="Calibri" w:cs="Calibri"/>
                <w:color w:val="000000"/>
              </w:rPr>
              <w:t>4%</w:t>
            </w:r>
          </w:p>
        </w:tc>
      </w:tr>
      <w:tr w:rsidR="00810F77" w14:paraId="37781DDA" w14:textId="77777777" w:rsidTr="00E201B6">
        <w:tc>
          <w:tcPr>
            <w:tcW w:w="6799" w:type="dxa"/>
          </w:tcPr>
          <w:p w14:paraId="301C787D" w14:textId="77777777" w:rsidR="00810F77" w:rsidRPr="00F3611D" w:rsidRDefault="00810F77" w:rsidP="00E201B6">
            <w:pPr>
              <w:pStyle w:val="NoSpacing"/>
              <w:rPr>
                <w:b/>
              </w:rPr>
            </w:pPr>
            <w:r w:rsidRPr="00F3611D">
              <w:rPr>
                <w:rFonts w:ascii="Calibri" w:eastAsia="Times New Roman" w:hAnsi="Calibri" w:cs="Calibri"/>
                <w:b/>
                <w:color w:val="000000"/>
              </w:rPr>
              <w:t>Component 2: Strengthening structure and quality of the health service delivery system</w:t>
            </w:r>
            <w:r w:rsidRPr="00F3611D">
              <w:rPr>
                <w:b/>
              </w:rPr>
              <w:t xml:space="preserve"> </w:t>
            </w:r>
          </w:p>
        </w:tc>
        <w:tc>
          <w:tcPr>
            <w:tcW w:w="3549" w:type="dxa"/>
          </w:tcPr>
          <w:p w14:paraId="4F471592" w14:textId="77777777" w:rsidR="00810F77" w:rsidRDefault="00810F77" w:rsidP="00E201B6"/>
        </w:tc>
        <w:tc>
          <w:tcPr>
            <w:tcW w:w="1417" w:type="dxa"/>
          </w:tcPr>
          <w:p w14:paraId="75136AC9" w14:textId="77777777" w:rsidR="00810F77" w:rsidRPr="00E078A2" w:rsidRDefault="00810F77" w:rsidP="00E201B6">
            <w:pPr>
              <w:rPr>
                <w:b/>
              </w:rPr>
            </w:pPr>
            <w:r w:rsidRPr="0042071C">
              <w:rPr>
                <w:rFonts w:ascii="Calibri" w:eastAsia="Times New Roman" w:hAnsi="Calibri" w:cs="Calibri"/>
                <w:b/>
                <w:bCs/>
                <w:color w:val="000000"/>
              </w:rPr>
              <w:t>11,920,000</w:t>
            </w:r>
          </w:p>
        </w:tc>
        <w:tc>
          <w:tcPr>
            <w:tcW w:w="1276" w:type="dxa"/>
          </w:tcPr>
          <w:p w14:paraId="04F49EAE" w14:textId="77777777" w:rsidR="00810F77" w:rsidRPr="00842857" w:rsidRDefault="00810F77" w:rsidP="00E201B6">
            <w:pPr>
              <w:rPr>
                <w:b/>
              </w:rPr>
            </w:pPr>
            <w:r w:rsidRPr="0042071C">
              <w:rPr>
                <w:rFonts w:ascii="Calibri" w:eastAsia="Times New Roman" w:hAnsi="Calibri" w:cs="Calibri"/>
                <w:b/>
                <w:bCs/>
                <w:color w:val="000000"/>
              </w:rPr>
              <w:t>100%</w:t>
            </w:r>
          </w:p>
        </w:tc>
      </w:tr>
      <w:tr w:rsidR="00810F77" w14:paraId="37A9A325" w14:textId="77777777" w:rsidTr="00E201B6">
        <w:tc>
          <w:tcPr>
            <w:tcW w:w="6799" w:type="dxa"/>
          </w:tcPr>
          <w:p w14:paraId="161E0738"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i/>
                <w:color w:val="000000"/>
              </w:rPr>
              <w:t xml:space="preserve">Sub-component 1.1: </w:t>
            </w:r>
            <w:r w:rsidRPr="00F3611D">
              <w:rPr>
                <w:rFonts w:ascii="Calibri" w:eastAsia="Times New Roman" w:hAnsi="Calibri" w:cs="Calibri"/>
                <w:color w:val="000000"/>
              </w:rPr>
              <w:t xml:space="preserve">Strengthen primary and secondary health care, public health </w:t>
            </w:r>
          </w:p>
          <w:p w14:paraId="1907ACB6"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i/>
                <w:color w:val="000000"/>
              </w:rPr>
              <w:t xml:space="preserve">Sub-component 1.2: </w:t>
            </w:r>
            <w:r w:rsidRPr="00F3611D">
              <w:rPr>
                <w:rFonts w:ascii="Calibri" w:eastAsia="Times New Roman" w:hAnsi="Calibri" w:cs="Calibri"/>
                <w:color w:val="000000"/>
              </w:rPr>
              <w:t>Improve quality of care</w:t>
            </w:r>
          </w:p>
          <w:p w14:paraId="567992E4" w14:textId="77777777" w:rsidR="00810F77" w:rsidRDefault="00810F77" w:rsidP="00E201B6">
            <w:pPr>
              <w:jc w:val="both"/>
            </w:pPr>
            <w:r w:rsidRPr="00F3611D">
              <w:rPr>
                <w:rFonts w:ascii="Calibri" w:eastAsia="Times New Roman" w:hAnsi="Calibri" w:cs="Calibri"/>
                <w:i/>
                <w:color w:val="000000"/>
              </w:rPr>
              <w:t xml:space="preserve">Sub-component 1.3: </w:t>
            </w:r>
            <w:r w:rsidRPr="00F3611D">
              <w:rPr>
                <w:rFonts w:ascii="Calibri" w:eastAsia="Times New Roman" w:hAnsi="Calibri" w:cs="Calibri"/>
                <w:color w:val="000000"/>
              </w:rPr>
              <w:t xml:space="preserve">Improve </w:t>
            </w:r>
            <w:r>
              <w:rPr>
                <w:rFonts w:ascii="Calibri" w:eastAsia="Times New Roman" w:hAnsi="Calibri" w:cs="Calibri"/>
                <w:color w:val="000000"/>
              </w:rPr>
              <w:t>medical education, including</w:t>
            </w:r>
            <w:r w:rsidRPr="004C0E5E">
              <w:rPr>
                <w:rFonts w:ascii="Calibri" w:eastAsia="Times New Roman" w:hAnsi="Calibri" w:cs="Calibri"/>
                <w:color w:val="000000"/>
              </w:rPr>
              <w:t xml:space="preserve"> CME and life-long learning and provider recertification  </w:t>
            </w:r>
          </w:p>
        </w:tc>
        <w:tc>
          <w:tcPr>
            <w:tcW w:w="3549" w:type="dxa"/>
          </w:tcPr>
          <w:p w14:paraId="11050754"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color w:val="000000"/>
              </w:rPr>
              <w:t>FTA (6) and LTA (15)</w:t>
            </w:r>
          </w:p>
          <w:p w14:paraId="08F6D478" w14:textId="77777777" w:rsidR="00810F77" w:rsidRPr="00F3611D" w:rsidRDefault="00810F77" w:rsidP="00E201B6">
            <w:pPr>
              <w:pStyle w:val="NoSpacing"/>
              <w:rPr>
                <w:rFonts w:ascii="Calibri" w:eastAsia="Times New Roman" w:hAnsi="Calibri" w:cs="Calibri"/>
                <w:color w:val="000000"/>
              </w:rPr>
            </w:pPr>
          </w:p>
        </w:tc>
        <w:tc>
          <w:tcPr>
            <w:tcW w:w="1417" w:type="dxa"/>
          </w:tcPr>
          <w:p w14:paraId="0041C6DB"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2,700,000</w:t>
            </w:r>
          </w:p>
        </w:tc>
        <w:tc>
          <w:tcPr>
            <w:tcW w:w="1276" w:type="dxa"/>
          </w:tcPr>
          <w:p w14:paraId="76766911"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23%</w:t>
            </w:r>
          </w:p>
        </w:tc>
      </w:tr>
      <w:tr w:rsidR="00810F77" w14:paraId="690EDA9E" w14:textId="77777777" w:rsidTr="00E201B6">
        <w:tc>
          <w:tcPr>
            <w:tcW w:w="6799" w:type="dxa"/>
          </w:tcPr>
          <w:p w14:paraId="01E48EF3" w14:textId="77777777" w:rsidR="00810F77" w:rsidRPr="009051DD" w:rsidRDefault="00810F77" w:rsidP="00E201B6">
            <w:pPr>
              <w:pStyle w:val="NoSpacing"/>
              <w:rPr>
                <w:i/>
                <w:iCs/>
              </w:rPr>
            </w:pPr>
          </w:p>
        </w:tc>
        <w:tc>
          <w:tcPr>
            <w:tcW w:w="3549" w:type="dxa"/>
          </w:tcPr>
          <w:p w14:paraId="384C9ED9"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color w:val="000000"/>
              </w:rPr>
              <w:t>Infrastructure (build and equip 130 PHC facilities)</w:t>
            </w:r>
          </w:p>
          <w:p w14:paraId="6E76C8DE"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color w:val="000000"/>
              </w:rPr>
              <w:t>130 facilities per $60,000</w:t>
            </w:r>
          </w:p>
        </w:tc>
        <w:tc>
          <w:tcPr>
            <w:tcW w:w="1417" w:type="dxa"/>
          </w:tcPr>
          <w:p w14:paraId="5E04DBEA"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7,800,000</w:t>
            </w:r>
          </w:p>
        </w:tc>
        <w:tc>
          <w:tcPr>
            <w:tcW w:w="1276" w:type="dxa"/>
          </w:tcPr>
          <w:p w14:paraId="7B75962B"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65%</w:t>
            </w:r>
          </w:p>
        </w:tc>
      </w:tr>
      <w:tr w:rsidR="00810F77" w14:paraId="003CAC8E" w14:textId="77777777" w:rsidTr="00E201B6">
        <w:tc>
          <w:tcPr>
            <w:tcW w:w="6799" w:type="dxa"/>
          </w:tcPr>
          <w:p w14:paraId="79E5C7EC" w14:textId="77777777" w:rsidR="00810F77" w:rsidRPr="009051DD" w:rsidRDefault="00810F77" w:rsidP="00E201B6">
            <w:pPr>
              <w:pStyle w:val="NoSpacing"/>
              <w:rPr>
                <w:i/>
                <w:iCs/>
              </w:rPr>
            </w:pPr>
          </w:p>
        </w:tc>
        <w:tc>
          <w:tcPr>
            <w:tcW w:w="3549" w:type="dxa"/>
          </w:tcPr>
          <w:p w14:paraId="7F33917B"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color w:val="000000"/>
              </w:rPr>
              <w:t>Trainings (PHC and quality, using telehealth solutions)</w:t>
            </w:r>
          </w:p>
        </w:tc>
        <w:tc>
          <w:tcPr>
            <w:tcW w:w="1417" w:type="dxa"/>
          </w:tcPr>
          <w:p w14:paraId="7861197C"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 xml:space="preserve">620,000 </w:t>
            </w:r>
          </w:p>
        </w:tc>
        <w:tc>
          <w:tcPr>
            <w:tcW w:w="1276" w:type="dxa"/>
          </w:tcPr>
          <w:p w14:paraId="401BA95A"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5%</w:t>
            </w:r>
          </w:p>
        </w:tc>
      </w:tr>
      <w:tr w:rsidR="00810F77" w14:paraId="1457548F" w14:textId="77777777" w:rsidTr="00E201B6">
        <w:tc>
          <w:tcPr>
            <w:tcW w:w="6799" w:type="dxa"/>
          </w:tcPr>
          <w:p w14:paraId="32B4624F" w14:textId="77777777" w:rsidR="00810F77" w:rsidRPr="009051DD" w:rsidRDefault="00810F77" w:rsidP="00E201B6">
            <w:pPr>
              <w:pStyle w:val="NoSpacing"/>
              <w:rPr>
                <w:i/>
                <w:iCs/>
              </w:rPr>
            </w:pPr>
          </w:p>
        </w:tc>
        <w:tc>
          <w:tcPr>
            <w:tcW w:w="3549" w:type="dxa"/>
          </w:tcPr>
          <w:p w14:paraId="4D2C364F"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color w:val="000000"/>
              </w:rPr>
              <w:t>Hardware and software (e.g. registry for the medical and nursing personnel, on quality indicator and ranking system, etc)</w:t>
            </w:r>
          </w:p>
        </w:tc>
        <w:tc>
          <w:tcPr>
            <w:tcW w:w="1417" w:type="dxa"/>
          </w:tcPr>
          <w:p w14:paraId="342C531C"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800,000</w:t>
            </w:r>
          </w:p>
        </w:tc>
        <w:tc>
          <w:tcPr>
            <w:tcW w:w="1276" w:type="dxa"/>
          </w:tcPr>
          <w:p w14:paraId="237D2DEB"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7%</w:t>
            </w:r>
          </w:p>
        </w:tc>
      </w:tr>
      <w:tr w:rsidR="00810F77" w14:paraId="0F8B690A" w14:textId="77777777" w:rsidTr="00E201B6">
        <w:tc>
          <w:tcPr>
            <w:tcW w:w="6799" w:type="dxa"/>
          </w:tcPr>
          <w:p w14:paraId="7553B0A9" w14:textId="77777777" w:rsidR="00810F77" w:rsidRPr="009051DD" w:rsidRDefault="00810F77" w:rsidP="00E201B6">
            <w:pPr>
              <w:pStyle w:val="NoSpacing"/>
              <w:rPr>
                <w:i/>
                <w:iCs/>
              </w:rPr>
            </w:pPr>
            <w:r w:rsidRPr="00F3611D">
              <w:rPr>
                <w:rFonts w:ascii="Calibri" w:eastAsia="Times New Roman" w:hAnsi="Calibri" w:cs="Calibri"/>
                <w:b/>
                <w:color w:val="000000"/>
              </w:rPr>
              <w:lastRenderedPageBreak/>
              <w:t>Component 3: Strengthening health financing under UHC</w:t>
            </w:r>
            <w:r>
              <w:rPr>
                <w:b/>
              </w:rPr>
              <w:t xml:space="preserve"> </w:t>
            </w:r>
          </w:p>
        </w:tc>
        <w:tc>
          <w:tcPr>
            <w:tcW w:w="3549" w:type="dxa"/>
          </w:tcPr>
          <w:p w14:paraId="26AD44DF" w14:textId="77777777" w:rsidR="00810F77" w:rsidRDefault="00810F77" w:rsidP="00E201B6"/>
        </w:tc>
        <w:tc>
          <w:tcPr>
            <w:tcW w:w="1417" w:type="dxa"/>
          </w:tcPr>
          <w:p w14:paraId="6037F40E" w14:textId="77777777" w:rsidR="00810F77" w:rsidRPr="0042071C" w:rsidRDefault="00810F77" w:rsidP="00E201B6">
            <w:pPr>
              <w:rPr>
                <w:rFonts w:ascii="Calibri" w:eastAsia="Times New Roman" w:hAnsi="Calibri" w:cs="Calibri"/>
                <w:b/>
                <w:color w:val="000000"/>
              </w:rPr>
            </w:pPr>
            <w:r w:rsidRPr="0042071C">
              <w:rPr>
                <w:rFonts w:ascii="Calibri" w:eastAsia="Times New Roman" w:hAnsi="Calibri" w:cs="Calibri"/>
                <w:b/>
                <w:color w:val="000000"/>
              </w:rPr>
              <w:t>2,100,000</w:t>
            </w:r>
          </w:p>
        </w:tc>
        <w:tc>
          <w:tcPr>
            <w:tcW w:w="1276" w:type="dxa"/>
          </w:tcPr>
          <w:p w14:paraId="5D9A9D24"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100%</w:t>
            </w:r>
          </w:p>
        </w:tc>
      </w:tr>
      <w:tr w:rsidR="00810F77" w14:paraId="3043E25C" w14:textId="77777777" w:rsidTr="00E201B6">
        <w:tc>
          <w:tcPr>
            <w:tcW w:w="6799" w:type="dxa"/>
          </w:tcPr>
          <w:p w14:paraId="72495AE1"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i/>
                <w:color w:val="000000"/>
              </w:rPr>
              <w:t>Sub-component 1.1:</w:t>
            </w:r>
            <w:r w:rsidRPr="00F3611D">
              <w:rPr>
                <w:rFonts w:ascii="Calibri" w:eastAsia="Times New Roman" w:hAnsi="Calibri" w:cs="Calibri"/>
                <w:color w:val="000000"/>
              </w:rPr>
              <w:t xml:space="preserve"> Strengthen regulatory and analytic capacity of MOH, including development and institutionalization of the Health Technology Assessment </w:t>
            </w:r>
          </w:p>
          <w:p w14:paraId="03305710"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i/>
                <w:color w:val="000000"/>
              </w:rPr>
              <w:t>Sub-component 1.2:</w:t>
            </w:r>
            <w:r w:rsidRPr="00F3611D">
              <w:rPr>
                <w:rFonts w:ascii="Calibri" w:eastAsia="Times New Roman" w:hAnsi="Calibri" w:cs="Calibri"/>
                <w:color w:val="000000"/>
              </w:rPr>
              <w:t xml:space="preserve"> Expanding and institutionalizing e-health solutions</w:t>
            </w:r>
          </w:p>
          <w:p w14:paraId="7088B4E3" w14:textId="77777777" w:rsidR="00810F77" w:rsidRPr="009051DD" w:rsidRDefault="00810F77" w:rsidP="00E201B6">
            <w:pPr>
              <w:pStyle w:val="NoSpacing"/>
              <w:rPr>
                <w:b/>
              </w:rPr>
            </w:pPr>
            <w:r w:rsidRPr="00F3611D">
              <w:rPr>
                <w:rFonts w:ascii="Calibri" w:eastAsia="Times New Roman" w:hAnsi="Calibri" w:cs="Calibri"/>
                <w:i/>
                <w:color w:val="000000"/>
              </w:rPr>
              <w:t>Sub-component 1.3:</w:t>
            </w:r>
            <w:r w:rsidRPr="00F3611D">
              <w:rPr>
                <w:rFonts w:ascii="Calibri" w:eastAsia="Times New Roman" w:hAnsi="Calibri" w:cs="Calibri"/>
                <w:color w:val="000000"/>
              </w:rPr>
              <w:t xml:space="preserve"> Rationalize laboratories of communicable diseases</w:t>
            </w:r>
            <w:r w:rsidRPr="009051DD">
              <w:t xml:space="preserve"> </w:t>
            </w:r>
          </w:p>
        </w:tc>
        <w:tc>
          <w:tcPr>
            <w:tcW w:w="3549" w:type="dxa"/>
          </w:tcPr>
          <w:p w14:paraId="47904B86"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color w:val="000000"/>
              </w:rPr>
              <w:t>FTA and LTA</w:t>
            </w:r>
          </w:p>
          <w:p w14:paraId="05AE232F"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color w:val="000000"/>
              </w:rPr>
              <w:t xml:space="preserve">3 FTA and 7 LTA </w:t>
            </w:r>
          </w:p>
        </w:tc>
        <w:tc>
          <w:tcPr>
            <w:tcW w:w="1417" w:type="dxa"/>
          </w:tcPr>
          <w:p w14:paraId="04886AD7"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1,320,000</w:t>
            </w:r>
          </w:p>
          <w:p w14:paraId="00776664" w14:textId="77777777" w:rsidR="00810F77" w:rsidRPr="0042071C" w:rsidRDefault="00810F77" w:rsidP="00E201B6">
            <w:pPr>
              <w:rPr>
                <w:rFonts w:ascii="Calibri" w:eastAsia="Times New Roman" w:hAnsi="Calibri" w:cs="Calibri"/>
                <w:color w:val="000000"/>
              </w:rPr>
            </w:pPr>
          </w:p>
        </w:tc>
        <w:tc>
          <w:tcPr>
            <w:tcW w:w="1276" w:type="dxa"/>
          </w:tcPr>
          <w:p w14:paraId="7F9FCB36"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63%</w:t>
            </w:r>
          </w:p>
        </w:tc>
      </w:tr>
      <w:tr w:rsidR="00810F77" w14:paraId="438EB334" w14:textId="77777777" w:rsidTr="00E201B6">
        <w:tc>
          <w:tcPr>
            <w:tcW w:w="6799" w:type="dxa"/>
          </w:tcPr>
          <w:p w14:paraId="374FBFA9" w14:textId="77777777" w:rsidR="00810F77" w:rsidRPr="009051DD" w:rsidRDefault="00810F77" w:rsidP="00E201B6">
            <w:pPr>
              <w:rPr>
                <w:i/>
                <w:iCs/>
              </w:rPr>
            </w:pPr>
          </w:p>
        </w:tc>
        <w:tc>
          <w:tcPr>
            <w:tcW w:w="3549" w:type="dxa"/>
          </w:tcPr>
          <w:p w14:paraId="097880E0"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color w:val="000000"/>
              </w:rPr>
              <w:t xml:space="preserve">Trainings </w:t>
            </w:r>
          </w:p>
        </w:tc>
        <w:tc>
          <w:tcPr>
            <w:tcW w:w="1417" w:type="dxa"/>
          </w:tcPr>
          <w:p w14:paraId="6EF4D9FA"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 xml:space="preserve">200,000  </w:t>
            </w:r>
          </w:p>
        </w:tc>
        <w:tc>
          <w:tcPr>
            <w:tcW w:w="1276" w:type="dxa"/>
          </w:tcPr>
          <w:p w14:paraId="425B4C66"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9%</w:t>
            </w:r>
          </w:p>
        </w:tc>
      </w:tr>
      <w:tr w:rsidR="00810F77" w14:paraId="0308159C" w14:textId="77777777" w:rsidTr="00E201B6">
        <w:tc>
          <w:tcPr>
            <w:tcW w:w="6799" w:type="dxa"/>
          </w:tcPr>
          <w:p w14:paraId="547DBD0A" w14:textId="77777777" w:rsidR="00810F77" w:rsidRPr="009051DD" w:rsidRDefault="00810F77" w:rsidP="00E201B6"/>
        </w:tc>
        <w:tc>
          <w:tcPr>
            <w:tcW w:w="3549" w:type="dxa"/>
          </w:tcPr>
          <w:p w14:paraId="76C9F8BA" w14:textId="77777777" w:rsidR="00810F77" w:rsidRPr="00F3611D" w:rsidRDefault="00810F77" w:rsidP="00E201B6">
            <w:pPr>
              <w:pStyle w:val="NoSpacing"/>
              <w:rPr>
                <w:rFonts w:ascii="Calibri" w:eastAsia="Times New Roman" w:hAnsi="Calibri" w:cs="Calibri"/>
                <w:color w:val="000000"/>
              </w:rPr>
            </w:pPr>
            <w:r w:rsidRPr="00F3611D">
              <w:rPr>
                <w:rFonts w:ascii="Calibri" w:eastAsia="Times New Roman" w:hAnsi="Calibri" w:cs="Calibri"/>
                <w:color w:val="000000"/>
              </w:rPr>
              <w:t>Software and hardware</w:t>
            </w:r>
          </w:p>
        </w:tc>
        <w:tc>
          <w:tcPr>
            <w:tcW w:w="1417" w:type="dxa"/>
          </w:tcPr>
          <w:p w14:paraId="3D57FE71"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580,000</w:t>
            </w:r>
          </w:p>
        </w:tc>
        <w:tc>
          <w:tcPr>
            <w:tcW w:w="1276" w:type="dxa"/>
          </w:tcPr>
          <w:p w14:paraId="73C90D17" w14:textId="77777777" w:rsidR="00810F77" w:rsidRPr="0042071C" w:rsidRDefault="00810F77" w:rsidP="00E201B6">
            <w:pPr>
              <w:rPr>
                <w:rFonts w:ascii="Calibri" w:eastAsia="Times New Roman" w:hAnsi="Calibri" w:cs="Calibri"/>
                <w:color w:val="000000"/>
              </w:rPr>
            </w:pPr>
            <w:r w:rsidRPr="0042071C">
              <w:rPr>
                <w:rFonts w:ascii="Calibri" w:eastAsia="Times New Roman" w:hAnsi="Calibri" w:cs="Calibri"/>
                <w:color w:val="000000"/>
              </w:rPr>
              <w:t>28%</w:t>
            </w:r>
          </w:p>
        </w:tc>
      </w:tr>
      <w:tr w:rsidR="00810F77" w14:paraId="56E21FF6" w14:textId="77777777" w:rsidTr="00E201B6">
        <w:tc>
          <w:tcPr>
            <w:tcW w:w="6799" w:type="dxa"/>
          </w:tcPr>
          <w:p w14:paraId="6831A4A9" w14:textId="77777777" w:rsidR="00810F77" w:rsidRPr="00F3611D" w:rsidRDefault="00810F77" w:rsidP="00E201B6">
            <w:pPr>
              <w:pStyle w:val="NoSpacing"/>
              <w:rPr>
                <w:rFonts w:ascii="Calibri" w:eastAsia="Times New Roman" w:hAnsi="Calibri" w:cs="Calibri"/>
                <w:b/>
                <w:color w:val="000000"/>
              </w:rPr>
            </w:pPr>
            <w:r w:rsidRPr="00F3611D">
              <w:rPr>
                <w:rFonts w:ascii="Calibri" w:eastAsia="Times New Roman" w:hAnsi="Calibri" w:cs="Calibri"/>
                <w:b/>
                <w:color w:val="000000"/>
              </w:rPr>
              <w:t>Component 4: Project implementation</w:t>
            </w:r>
          </w:p>
        </w:tc>
        <w:tc>
          <w:tcPr>
            <w:tcW w:w="3549" w:type="dxa"/>
          </w:tcPr>
          <w:p w14:paraId="5386E0EE" w14:textId="77777777" w:rsidR="00810F77" w:rsidRDefault="00810F77" w:rsidP="00E201B6"/>
        </w:tc>
        <w:tc>
          <w:tcPr>
            <w:tcW w:w="1417" w:type="dxa"/>
          </w:tcPr>
          <w:p w14:paraId="786FECC4" w14:textId="77777777" w:rsidR="00810F77" w:rsidRDefault="00810F77" w:rsidP="00E201B6">
            <w:pPr>
              <w:rPr>
                <w:rFonts w:ascii="Calibri" w:hAnsi="Calibri" w:cs="Calibri"/>
                <w:b/>
                <w:bCs/>
                <w:color w:val="000000"/>
              </w:rPr>
            </w:pPr>
            <w:r>
              <w:rPr>
                <w:rFonts w:ascii="Calibri" w:hAnsi="Calibri" w:cs="Calibri"/>
                <w:b/>
                <w:bCs/>
                <w:color w:val="000000"/>
              </w:rPr>
              <w:t xml:space="preserve"> 1,030,000</w:t>
            </w:r>
          </w:p>
          <w:p w14:paraId="78DB0107" w14:textId="77777777" w:rsidR="00810F77" w:rsidRPr="00E078A2" w:rsidRDefault="00810F77" w:rsidP="00E201B6">
            <w:pPr>
              <w:rPr>
                <w:b/>
              </w:rPr>
            </w:pPr>
          </w:p>
        </w:tc>
        <w:tc>
          <w:tcPr>
            <w:tcW w:w="1276" w:type="dxa"/>
          </w:tcPr>
          <w:p w14:paraId="04C3640E" w14:textId="77777777" w:rsidR="00810F77" w:rsidRDefault="00810F77" w:rsidP="00E201B6">
            <w:r w:rsidRPr="0042071C">
              <w:rPr>
                <w:rFonts w:ascii="Calibri" w:eastAsia="Times New Roman" w:hAnsi="Calibri" w:cs="Calibri"/>
                <w:color w:val="000000"/>
              </w:rPr>
              <w:t>100%</w:t>
            </w:r>
          </w:p>
        </w:tc>
      </w:tr>
      <w:tr w:rsidR="00810F77" w14:paraId="4B4BC311" w14:textId="77777777" w:rsidTr="00E201B6">
        <w:tc>
          <w:tcPr>
            <w:tcW w:w="6799" w:type="dxa"/>
          </w:tcPr>
          <w:p w14:paraId="3BF10705" w14:textId="77777777" w:rsidR="00810F77" w:rsidRPr="009051DD" w:rsidRDefault="00810F77" w:rsidP="00E201B6">
            <w:pPr>
              <w:pStyle w:val="NoSpacing"/>
              <w:rPr>
                <w:b/>
              </w:rPr>
            </w:pPr>
            <w:r w:rsidRPr="00F3611D">
              <w:rPr>
                <w:rFonts w:ascii="Calibri" w:eastAsia="Times New Roman" w:hAnsi="Calibri" w:cs="Calibri"/>
                <w:b/>
                <w:color w:val="000000"/>
              </w:rPr>
              <w:t>TOTAL</w:t>
            </w:r>
          </w:p>
        </w:tc>
        <w:tc>
          <w:tcPr>
            <w:tcW w:w="3549" w:type="dxa"/>
          </w:tcPr>
          <w:p w14:paraId="28A71ED0" w14:textId="77777777" w:rsidR="00810F77" w:rsidRDefault="00810F77" w:rsidP="00E201B6"/>
        </w:tc>
        <w:tc>
          <w:tcPr>
            <w:tcW w:w="1417" w:type="dxa"/>
          </w:tcPr>
          <w:p w14:paraId="2E55DCCB" w14:textId="77777777" w:rsidR="00810F77" w:rsidRPr="0042071C" w:rsidRDefault="00810F77" w:rsidP="00E201B6">
            <w:pPr>
              <w:rPr>
                <w:b/>
              </w:rPr>
            </w:pPr>
            <w:r w:rsidRPr="0042071C">
              <w:rPr>
                <w:rFonts w:ascii="Calibri" w:eastAsia="Times New Roman" w:hAnsi="Calibri" w:cs="Calibri"/>
                <w:b/>
                <w:color w:val="FF0000"/>
              </w:rPr>
              <w:t>18,000,000</w:t>
            </w:r>
          </w:p>
        </w:tc>
        <w:tc>
          <w:tcPr>
            <w:tcW w:w="1276" w:type="dxa"/>
          </w:tcPr>
          <w:p w14:paraId="2F04194F" w14:textId="77777777" w:rsidR="00810F77" w:rsidRDefault="00810F77" w:rsidP="00E201B6"/>
        </w:tc>
      </w:tr>
    </w:tbl>
    <w:p w14:paraId="34873513" w14:textId="77777777" w:rsidR="00810F77" w:rsidRDefault="00810F77" w:rsidP="00810F77"/>
    <w:p w14:paraId="420BE1D5" w14:textId="77777777" w:rsidR="00810F77" w:rsidRPr="00F42AB2" w:rsidRDefault="00810F77" w:rsidP="00810F77">
      <w:pPr>
        <w:spacing w:after="0" w:line="240" w:lineRule="auto"/>
        <w:rPr>
          <w:rFonts w:ascii="Calibri" w:eastAsia="Times New Roman" w:hAnsi="Calibri" w:cs="Calibri"/>
          <w:color w:val="000000"/>
        </w:rPr>
      </w:pPr>
      <w:r w:rsidRPr="00F42AB2">
        <w:rPr>
          <w:rFonts w:ascii="Calibri" w:eastAsia="Times New Roman" w:hAnsi="Calibri" w:cs="Calibri"/>
          <w:b/>
          <w:color w:val="000000"/>
        </w:rPr>
        <w:t>Estimated Budget per Categories</w:t>
      </w:r>
      <w:r w:rsidRPr="00F42AB2">
        <w:rPr>
          <w:rFonts w:ascii="Calibri" w:eastAsia="Times New Roman" w:hAnsi="Calibri" w:cs="Calibri"/>
          <w:color w:val="000000"/>
        </w:rPr>
        <w:t xml:space="preserve"> </w:t>
      </w:r>
    </w:p>
    <w:tbl>
      <w:tblPr>
        <w:tblW w:w="11907" w:type="dxa"/>
        <w:tblInd w:w="-5" w:type="dxa"/>
        <w:tblLook w:val="04A0" w:firstRow="1" w:lastRow="0" w:firstColumn="1" w:lastColumn="0" w:noHBand="0" w:noVBand="1"/>
      </w:tblPr>
      <w:tblGrid>
        <w:gridCol w:w="6804"/>
        <w:gridCol w:w="3402"/>
        <w:gridCol w:w="1701"/>
      </w:tblGrid>
      <w:tr w:rsidR="00810F77" w:rsidRPr="00F42AB2" w14:paraId="51BEADA0" w14:textId="77777777" w:rsidTr="00E201B6">
        <w:trPr>
          <w:trHeight w:val="285"/>
        </w:trPr>
        <w:tc>
          <w:tcPr>
            <w:tcW w:w="680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CE3909A" w14:textId="77777777" w:rsidR="00810F77" w:rsidRPr="00F42AB2" w:rsidRDefault="00810F77" w:rsidP="00E201B6">
            <w:pPr>
              <w:spacing w:after="0" w:line="240" w:lineRule="auto"/>
              <w:rPr>
                <w:rFonts w:ascii="Calibri" w:eastAsia="Times New Roman" w:hAnsi="Calibri" w:cs="Calibri"/>
                <w:b/>
                <w:color w:val="000000"/>
              </w:rPr>
            </w:pPr>
            <w:r w:rsidRPr="00F42AB2">
              <w:rPr>
                <w:rFonts w:ascii="Calibri" w:eastAsia="Times New Roman" w:hAnsi="Calibri" w:cs="Calibri"/>
                <w:b/>
                <w:color w:val="000000"/>
              </w:rPr>
              <w:t>Category</w:t>
            </w:r>
          </w:p>
        </w:tc>
        <w:tc>
          <w:tcPr>
            <w:tcW w:w="3402" w:type="dxa"/>
            <w:tcBorders>
              <w:top w:val="single" w:sz="4" w:space="0" w:color="auto"/>
              <w:left w:val="nil"/>
              <w:bottom w:val="single" w:sz="4" w:space="0" w:color="auto"/>
              <w:right w:val="single" w:sz="4" w:space="0" w:color="auto"/>
            </w:tcBorders>
            <w:shd w:val="clear" w:color="000000" w:fill="E7E6E6"/>
            <w:noWrap/>
            <w:vAlign w:val="bottom"/>
            <w:hideMark/>
          </w:tcPr>
          <w:p w14:paraId="212F5730" w14:textId="77777777" w:rsidR="00810F77" w:rsidRPr="00F42AB2" w:rsidRDefault="00810F77" w:rsidP="00E201B6">
            <w:pPr>
              <w:spacing w:after="0" w:line="240" w:lineRule="auto"/>
              <w:rPr>
                <w:rFonts w:ascii="Calibri" w:eastAsia="Times New Roman" w:hAnsi="Calibri" w:cs="Calibri"/>
                <w:b/>
                <w:color w:val="000000"/>
              </w:rPr>
            </w:pPr>
            <w:r w:rsidRPr="00F42AB2">
              <w:rPr>
                <w:rFonts w:ascii="Calibri" w:eastAsia="Times New Roman" w:hAnsi="Calibri" w:cs="Calibri"/>
                <w:b/>
                <w:color w:val="000000"/>
              </w:rPr>
              <w:t>Estimated budget</w:t>
            </w:r>
          </w:p>
        </w:tc>
        <w:tc>
          <w:tcPr>
            <w:tcW w:w="1701" w:type="dxa"/>
            <w:tcBorders>
              <w:top w:val="single" w:sz="4" w:space="0" w:color="auto"/>
              <w:left w:val="nil"/>
              <w:bottom w:val="single" w:sz="4" w:space="0" w:color="auto"/>
              <w:right w:val="single" w:sz="4" w:space="0" w:color="auto"/>
            </w:tcBorders>
            <w:shd w:val="clear" w:color="000000" w:fill="E7E6E6"/>
            <w:noWrap/>
            <w:vAlign w:val="bottom"/>
            <w:hideMark/>
          </w:tcPr>
          <w:p w14:paraId="30308DDA" w14:textId="77777777" w:rsidR="00810F77" w:rsidRPr="00F42AB2" w:rsidRDefault="00810F77" w:rsidP="00E201B6">
            <w:pPr>
              <w:spacing w:after="0" w:line="240" w:lineRule="auto"/>
              <w:rPr>
                <w:rFonts w:ascii="Calibri" w:eastAsia="Times New Roman" w:hAnsi="Calibri" w:cs="Calibri"/>
                <w:b/>
                <w:color w:val="000000"/>
              </w:rPr>
            </w:pPr>
            <w:r w:rsidRPr="00F42AB2">
              <w:rPr>
                <w:rFonts w:ascii="Calibri" w:eastAsia="Times New Roman" w:hAnsi="Calibri" w:cs="Calibri"/>
                <w:b/>
                <w:color w:val="000000"/>
              </w:rPr>
              <w:t>Percentage</w:t>
            </w:r>
          </w:p>
        </w:tc>
      </w:tr>
      <w:tr w:rsidR="00810F77" w:rsidRPr="00F42AB2" w14:paraId="0D8AD550" w14:textId="77777777" w:rsidTr="00E201B6">
        <w:trPr>
          <w:trHeight w:val="285"/>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14:paraId="1B17AD44"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TA</w:t>
            </w:r>
          </w:p>
        </w:tc>
        <w:tc>
          <w:tcPr>
            <w:tcW w:w="3402" w:type="dxa"/>
            <w:tcBorders>
              <w:top w:val="nil"/>
              <w:left w:val="nil"/>
              <w:bottom w:val="single" w:sz="4" w:space="0" w:color="auto"/>
              <w:right w:val="single" w:sz="4" w:space="0" w:color="auto"/>
            </w:tcBorders>
            <w:shd w:val="clear" w:color="auto" w:fill="auto"/>
            <w:noWrap/>
            <w:vAlign w:val="bottom"/>
            <w:hideMark/>
          </w:tcPr>
          <w:p w14:paraId="765ED0E2"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 xml:space="preserve">               6,045,000 </w:t>
            </w:r>
          </w:p>
        </w:tc>
        <w:tc>
          <w:tcPr>
            <w:tcW w:w="1701" w:type="dxa"/>
            <w:tcBorders>
              <w:top w:val="nil"/>
              <w:left w:val="nil"/>
              <w:bottom w:val="single" w:sz="4" w:space="0" w:color="auto"/>
              <w:right w:val="single" w:sz="4" w:space="0" w:color="auto"/>
            </w:tcBorders>
            <w:shd w:val="clear" w:color="auto" w:fill="auto"/>
            <w:noWrap/>
            <w:vAlign w:val="bottom"/>
            <w:hideMark/>
          </w:tcPr>
          <w:p w14:paraId="2E805D5F" w14:textId="77777777" w:rsidR="00810F77" w:rsidRPr="00F42AB2" w:rsidRDefault="00810F77" w:rsidP="00E201B6">
            <w:pPr>
              <w:spacing w:after="0" w:line="240" w:lineRule="auto"/>
              <w:jc w:val="right"/>
              <w:rPr>
                <w:rFonts w:ascii="Calibri" w:eastAsia="Times New Roman" w:hAnsi="Calibri" w:cs="Calibri"/>
                <w:color w:val="000000"/>
              </w:rPr>
            </w:pPr>
            <w:r w:rsidRPr="00F42AB2">
              <w:rPr>
                <w:rFonts w:ascii="Calibri" w:eastAsia="Times New Roman" w:hAnsi="Calibri" w:cs="Calibri"/>
                <w:color w:val="000000"/>
              </w:rPr>
              <w:t>34</w:t>
            </w:r>
          </w:p>
        </w:tc>
      </w:tr>
      <w:tr w:rsidR="00810F77" w:rsidRPr="00F42AB2" w14:paraId="1EA121BB" w14:textId="77777777" w:rsidTr="00E201B6">
        <w:trPr>
          <w:trHeight w:val="285"/>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14:paraId="222622B3"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 xml:space="preserve">Trainings </w:t>
            </w:r>
          </w:p>
        </w:tc>
        <w:tc>
          <w:tcPr>
            <w:tcW w:w="3402" w:type="dxa"/>
            <w:tcBorders>
              <w:top w:val="nil"/>
              <w:left w:val="nil"/>
              <w:bottom w:val="single" w:sz="4" w:space="0" w:color="auto"/>
              <w:right w:val="single" w:sz="4" w:space="0" w:color="auto"/>
            </w:tcBorders>
            <w:shd w:val="clear" w:color="auto" w:fill="auto"/>
            <w:noWrap/>
            <w:vAlign w:val="bottom"/>
            <w:hideMark/>
          </w:tcPr>
          <w:p w14:paraId="2C0DEF31"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 xml:space="preserve">               1,120,000 </w:t>
            </w:r>
          </w:p>
        </w:tc>
        <w:tc>
          <w:tcPr>
            <w:tcW w:w="1701" w:type="dxa"/>
            <w:tcBorders>
              <w:top w:val="nil"/>
              <w:left w:val="nil"/>
              <w:bottom w:val="single" w:sz="4" w:space="0" w:color="auto"/>
              <w:right w:val="single" w:sz="4" w:space="0" w:color="auto"/>
            </w:tcBorders>
            <w:shd w:val="clear" w:color="auto" w:fill="auto"/>
            <w:noWrap/>
            <w:vAlign w:val="bottom"/>
            <w:hideMark/>
          </w:tcPr>
          <w:p w14:paraId="2D9DED30" w14:textId="77777777" w:rsidR="00810F77" w:rsidRPr="00F42AB2" w:rsidRDefault="00810F77" w:rsidP="00E201B6">
            <w:pPr>
              <w:spacing w:after="0" w:line="240" w:lineRule="auto"/>
              <w:jc w:val="right"/>
              <w:rPr>
                <w:rFonts w:ascii="Calibri" w:eastAsia="Times New Roman" w:hAnsi="Calibri" w:cs="Calibri"/>
                <w:color w:val="000000"/>
              </w:rPr>
            </w:pPr>
            <w:r w:rsidRPr="00F42AB2">
              <w:rPr>
                <w:rFonts w:ascii="Calibri" w:eastAsia="Times New Roman" w:hAnsi="Calibri" w:cs="Calibri"/>
                <w:color w:val="000000"/>
              </w:rPr>
              <w:t>6</w:t>
            </w:r>
          </w:p>
        </w:tc>
      </w:tr>
      <w:tr w:rsidR="00810F77" w:rsidRPr="00F42AB2" w14:paraId="6A7EE31D" w14:textId="77777777" w:rsidTr="00E201B6">
        <w:trPr>
          <w:trHeight w:val="308"/>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697CDDD"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Software and hardware</w:t>
            </w:r>
          </w:p>
        </w:tc>
        <w:tc>
          <w:tcPr>
            <w:tcW w:w="3402" w:type="dxa"/>
            <w:tcBorders>
              <w:top w:val="nil"/>
              <w:left w:val="nil"/>
              <w:bottom w:val="single" w:sz="4" w:space="0" w:color="auto"/>
              <w:right w:val="single" w:sz="4" w:space="0" w:color="auto"/>
            </w:tcBorders>
            <w:shd w:val="clear" w:color="auto" w:fill="auto"/>
            <w:noWrap/>
            <w:vAlign w:val="bottom"/>
            <w:hideMark/>
          </w:tcPr>
          <w:p w14:paraId="28C16357"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 xml:space="preserve">               1,880,000 </w:t>
            </w:r>
          </w:p>
        </w:tc>
        <w:tc>
          <w:tcPr>
            <w:tcW w:w="1701" w:type="dxa"/>
            <w:tcBorders>
              <w:top w:val="nil"/>
              <w:left w:val="nil"/>
              <w:bottom w:val="single" w:sz="4" w:space="0" w:color="auto"/>
              <w:right w:val="single" w:sz="4" w:space="0" w:color="auto"/>
            </w:tcBorders>
            <w:shd w:val="clear" w:color="auto" w:fill="auto"/>
            <w:noWrap/>
            <w:vAlign w:val="bottom"/>
            <w:hideMark/>
          </w:tcPr>
          <w:p w14:paraId="1E0CC218" w14:textId="77777777" w:rsidR="00810F77" w:rsidRPr="00F42AB2" w:rsidRDefault="00810F77" w:rsidP="00E201B6">
            <w:pPr>
              <w:spacing w:after="0" w:line="240" w:lineRule="auto"/>
              <w:jc w:val="right"/>
              <w:rPr>
                <w:rFonts w:ascii="Calibri" w:eastAsia="Times New Roman" w:hAnsi="Calibri" w:cs="Calibri"/>
                <w:color w:val="000000"/>
              </w:rPr>
            </w:pPr>
            <w:r w:rsidRPr="00F42AB2">
              <w:rPr>
                <w:rFonts w:ascii="Calibri" w:eastAsia="Times New Roman" w:hAnsi="Calibri" w:cs="Calibri"/>
                <w:color w:val="000000"/>
              </w:rPr>
              <w:t>10</w:t>
            </w:r>
          </w:p>
        </w:tc>
      </w:tr>
      <w:tr w:rsidR="00810F77" w:rsidRPr="00F42AB2" w14:paraId="2156F7F4" w14:textId="77777777" w:rsidTr="00E201B6">
        <w:trPr>
          <w:trHeight w:val="308"/>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DBCBEB"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License(s)</w:t>
            </w:r>
          </w:p>
        </w:tc>
        <w:tc>
          <w:tcPr>
            <w:tcW w:w="3402" w:type="dxa"/>
            <w:tcBorders>
              <w:top w:val="nil"/>
              <w:left w:val="nil"/>
              <w:bottom w:val="single" w:sz="4" w:space="0" w:color="auto"/>
              <w:right w:val="single" w:sz="4" w:space="0" w:color="auto"/>
            </w:tcBorders>
            <w:shd w:val="clear" w:color="auto" w:fill="auto"/>
            <w:noWrap/>
            <w:vAlign w:val="bottom"/>
            <w:hideMark/>
          </w:tcPr>
          <w:p w14:paraId="2B2ABDEE"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 xml:space="preserve">                  125,000 </w:t>
            </w:r>
          </w:p>
        </w:tc>
        <w:tc>
          <w:tcPr>
            <w:tcW w:w="1701" w:type="dxa"/>
            <w:tcBorders>
              <w:top w:val="nil"/>
              <w:left w:val="nil"/>
              <w:bottom w:val="single" w:sz="4" w:space="0" w:color="auto"/>
              <w:right w:val="single" w:sz="4" w:space="0" w:color="auto"/>
            </w:tcBorders>
            <w:shd w:val="clear" w:color="auto" w:fill="auto"/>
            <w:noWrap/>
            <w:vAlign w:val="bottom"/>
            <w:hideMark/>
          </w:tcPr>
          <w:p w14:paraId="21C518D9" w14:textId="77777777" w:rsidR="00810F77" w:rsidRPr="00F42AB2" w:rsidRDefault="00810F77" w:rsidP="00E201B6">
            <w:pPr>
              <w:spacing w:after="0" w:line="240" w:lineRule="auto"/>
              <w:jc w:val="right"/>
              <w:rPr>
                <w:rFonts w:ascii="Calibri" w:eastAsia="Times New Roman" w:hAnsi="Calibri" w:cs="Calibri"/>
                <w:color w:val="000000"/>
              </w:rPr>
            </w:pPr>
            <w:r w:rsidRPr="00F42AB2">
              <w:rPr>
                <w:rFonts w:ascii="Calibri" w:eastAsia="Times New Roman" w:hAnsi="Calibri" w:cs="Calibri"/>
                <w:color w:val="000000"/>
              </w:rPr>
              <w:t>1</w:t>
            </w:r>
          </w:p>
        </w:tc>
      </w:tr>
      <w:tr w:rsidR="00810F77" w:rsidRPr="00F42AB2" w14:paraId="107417FC" w14:textId="77777777" w:rsidTr="00E201B6">
        <w:trPr>
          <w:trHeight w:val="308"/>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730B2F"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Infrastructure</w:t>
            </w:r>
          </w:p>
        </w:tc>
        <w:tc>
          <w:tcPr>
            <w:tcW w:w="3402" w:type="dxa"/>
            <w:tcBorders>
              <w:top w:val="nil"/>
              <w:left w:val="nil"/>
              <w:bottom w:val="single" w:sz="4" w:space="0" w:color="auto"/>
              <w:right w:val="single" w:sz="4" w:space="0" w:color="auto"/>
            </w:tcBorders>
            <w:shd w:val="clear" w:color="auto" w:fill="auto"/>
            <w:noWrap/>
            <w:vAlign w:val="bottom"/>
            <w:hideMark/>
          </w:tcPr>
          <w:p w14:paraId="7880BEBF"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 xml:space="preserve">               7,800,000 </w:t>
            </w:r>
          </w:p>
        </w:tc>
        <w:tc>
          <w:tcPr>
            <w:tcW w:w="1701" w:type="dxa"/>
            <w:tcBorders>
              <w:top w:val="nil"/>
              <w:left w:val="nil"/>
              <w:bottom w:val="single" w:sz="4" w:space="0" w:color="auto"/>
              <w:right w:val="single" w:sz="4" w:space="0" w:color="auto"/>
            </w:tcBorders>
            <w:shd w:val="clear" w:color="auto" w:fill="auto"/>
            <w:noWrap/>
            <w:vAlign w:val="bottom"/>
            <w:hideMark/>
          </w:tcPr>
          <w:p w14:paraId="7E2299D2" w14:textId="77777777" w:rsidR="00810F77" w:rsidRPr="00F42AB2" w:rsidRDefault="00810F77" w:rsidP="00E201B6">
            <w:pPr>
              <w:spacing w:after="0" w:line="240" w:lineRule="auto"/>
              <w:jc w:val="right"/>
              <w:rPr>
                <w:rFonts w:ascii="Calibri" w:eastAsia="Times New Roman" w:hAnsi="Calibri" w:cs="Calibri"/>
                <w:color w:val="000000"/>
              </w:rPr>
            </w:pPr>
            <w:r w:rsidRPr="00F42AB2">
              <w:rPr>
                <w:rFonts w:ascii="Calibri" w:eastAsia="Times New Roman" w:hAnsi="Calibri" w:cs="Calibri"/>
                <w:color w:val="000000"/>
              </w:rPr>
              <w:t>43</w:t>
            </w:r>
          </w:p>
        </w:tc>
      </w:tr>
      <w:tr w:rsidR="00810F77" w:rsidRPr="00F42AB2" w14:paraId="22831C6E" w14:textId="77777777" w:rsidTr="00E201B6">
        <w:trPr>
          <w:trHeight w:val="308"/>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50C8DA6A"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Implementation</w:t>
            </w:r>
          </w:p>
        </w:tc>
        <w:tc>
          <w:tcPr>
            <w:tcW w:w="3402" w:type="dxa"/>
            <w:tcBorders>
              <w:top w:val="nil"/>
              <w:left w:val="nil"/>
              <w:bottom w:val="single" w:sz="4" w:space="0" w:color="auto"/>
              <w:right w:val="single" w:sz="4" w:space="0" w:color="auto"/>
            </w:tcBorders>
            <w:shd w:val="clear" w:color="000000" w:fill="FFFFFF"/>
            <w:noWrap/>
            <w:vAlign w:val="bottom"/>
            <w:hideMark/>
          </w:tcPr>
          <w:p w14:paraId="446FF35E" w14:textId="77777777" w:rsidR="00810F77" w:rsidRPr="00F42AB2" w:rsidRDefault="00810F77" w:rsidP="00E201B6">
            <w:pPr>
              <w:spacing w:after="0" w:line="240" w:lineRule="auto"/>
              <w:rPr>
                <w:rFonts w:ascii="Calibri" w:eastAsia="Times New Roman" w:hAnsi="Calibri" w:cs="Calibri"/>
                <w:color w:val="000000"/>
              </w:rPr>
            </w:pPr>
            <w:r w:rsidRPr="00F42AB2">
              <w:rPr>
                <w:rFonts w:ascii="Calibri" w:eastAsia="Times New Roman" w:hAnsi="Calibri" w:cs="Calibri"/>
                <w:color w:val="000000"/>
              </w:rPr>
              <w:t xml:space="preserve">               1,030,000 </w:t>
            </w:r>
          </w:p>
        </w:tc>
        <w:tc>
          <w:tcPr>
            <w:tcW w:w="1701" w:type="dxa"/>
            <w:tcBorders>
              <w:top w:val="nil"/>
              <w:left w:val="nil"/>
              <w:bottom w:val="single" w:sz="4" w:space="0" w:color="auto"/>
              <w:right w:val="single" w:sz="4" w:space="0" w:color="auto"/>
            </w:tcBorders>
            <w:shd w:val="clear" w:color="auto" w:fill="auto"/>
            <w:noWrap/>
            <w:vAlign w:val="bottom"/>
            <w:hideMark/>
          </w:tcPr>
          <w:p w14:paraId="15D83558" w14:textId="77777777" w:rsidR="00810F77" w:rsidRPr="00F42AB2" w:rsidRDefault="00810F77" w:rsidP="00E201B6">
            <w:pPr>
              <w:spacing w:after="0" w:line="240" w:lineRule="auto"/>
              <w:jc w:val="right"/>
              <w:rPr>
                <w:rFonts w:ascii="Calibri" w:eastAsia="Times New Roman" w:hAnsi="Calibri" w:cs="Calibri"/>
                <w:color w:val="000000"/>
              </w:rPr>
            </w:pPr>
            <w:r w:rsidRPr="00F42AB2">
              <w:rPr>
                <w:rFonts w:ascii="Calibri" w:eastAsia="Times New Roman" w:hAnsi="Calibri" w:cs="Calibri"/>
                <w:color w:val="000000"/>
              </w:rPr>
              <w:t>6</w:t>
            </w:r>
          </w:p>
        </w:tc>
      </w:tr>
      <w:tr w:rsidR="00810F77" w:rsidRPr="00F42AB2" w14:paraId="4314E949" w14:textId="77777777" w:rsidTr="00E201B6">
        <w:trPr>
          <w:trHeight w:val="308"/>
        </w:trPr>
        <w:tc>
          <w:tcPr>
            <w:tcW w:w="6804" w:type="dxa"/>
            <w:tcBorders>
              <w:top w:val="nil"/>
              <w:left w:val="single" w:sz="4" w:space="0" w:color="auto"/>
              <w:bottom w:val="single" w:sz="4" w:space="0" w:color="auto"/>
              <w:right w:val="single" w:sz="4" w:space="0" w:color="auto"/>
            </w:tcBorders>
            <w:shd w:val="clear" w:color="auto" w:fill="E7E6E6" w:themeFill="background2"/>
            <w:vAlign w:val="center"/>
            <w:hideMark/>
          </w:tcPr>
          <w:p w14:paraId="1AE668ED" w14:textId="77777777" w:rsidR="00810F77" w:rsidRPr="00F42AB2" w:rsidRDefault="00810F77" w:rsidP="00E201B6">
            <w:pPr>
              <w:spacing w:after="0" w:line="240" w:lineRule="auto"/>
              <w:rPr>
                <w:rFonts w:ascii="Calibri" w:eastAsia="Times New Roman" w:hAnsi="Calibri" w:cs="Calibri"/>
                <w:b/>
                <w:color w:val="000000"/>
              </w:rPr>
            </w:pPr>
            <w:r w:rsidRPr="00F42AB2">
              <w:rPr>
                <w:rFonts w:ascii="Calibri" w:eastAsia="Times New Roman" w:hAnsi="Calibri" w:cs="Calibri"/>
                <w:b/>
                <w:color w:val="000000"/>
              </w:rPr>
              <w:t xml:space="preserve">TOTAL </w:t>
            </w:r>
          </w:p>
        </w:tc>
        <w:tc>
          <w:tcPr>
            <w:tcW w:w="3402" w:type="dxa"/>
            <w:tcBorders>
              <w:top w:val="nil"/>
              <w:left w:val="nil"/>
              <w:bottom w:val="single" w:sz="4" w:space="0" w:color="auto"/>
              <w:right w:val="single" w:sz="4" w:space="0" w:color="auto"/>
            </w:tcBorders>
            <w:shd w:val="clear" w:color="auto" w:fill="E7E6E6" w:themeFill="background2"/>
            <w:noWrap/>
            <w:vAlign w:val="bottom"/>
            <w:hideMark/>
          </w:tcPr>
          <w:p w14:paraId="14541215" w14:textId="77777777" w:rsidR="00810F77" w:rsidRPr="00F42AB2" w:rsidRDefault="00810F77" w:rsidP="00E201B6">
            <w:pPr>
              <w:spacing w:after="0" w:line="240" w:lineRule="auto"/>
              <w:rPr>
                <w:rFonts w:ascii="Calibri" w:eastAsia="Times New Roman" w:hAnsi="Calibri" w:cs="Calibri"/>
                <w:b/>
                <w:bCs/>
                <w:color w:val="000000"/>
              </w:rPr>
            </w:pPr>
            <w:r w:rsidRPr="00F42AB2">
              <w:rPr>
                <w:rFonts w:ascii="Calibri" w:eastAsia="Times New Roman" w:hAnsi="Calibri" w:cs="Calibri"/>
                <w:b/>
                <w:bCs/>
                <w:color w:val="000000"/>
              </w:rPr>
              <w:t xml:space="preserve">             18,000,000 </w:t>
            </w:r>
          </w:p>
        </w:tc>
        <w:tc>
          <w:tcPr>
            <w:tcW w:w="1701" w:type="dxa"/>
            <w:tcBorders>
              <w:top w:val="nil"/>
              <w:left w:val="nil"/>
              <w:bottom w:val="single" w:sz="4" w:space="0" w:color="auto"/>
              <w:right w:val="single" w:sz="4" w:space="0" w:color="auto"/>
            </w:tcBorders>
            <w:shd w:val="clear" w:color="auto" w:fill="E7E6E6" w:themeFill="background2"/>
            <w:noWrap/>
            <w:vAlign w:val="bottom"/>
            <w:hideMark/>
          </w:tcPr>
          <w:p w14:paraId="78467C21" w14:textId="77777777" w:rsidR="00810F77" w:rsidRPr="00F42AB2" w:rsidRDefault="00810F77" w:rsidP="00E201B6">
            <w:pPr>
              <w:spacing w:after="0" w:line="240" w:lineRule="auto"/>
              <w:jc w:val="right"/>
              <w:rPr>
                <w:rFonts w:ascii="Calibri" w:eastAsia="Times New Roman" w:hAnsi="Calibri" w:cs="Calibri"/>
                <w:b/>
                <w:bCs/>
                <w:color w:val="000000"/>
              </w:rPr>
            </w:pPr>
            <w:r w:rsidRPr="00F42AB2">
              <w:rPr>
                <w:rFonts w:ascii="Calibri" w:eastAsia="Times New Roman" w:hAnsi="Calibri" w:cs="Calibri"/>
                <w:b/>
                <w:bCs/>
                <w:color w:val="000000"/>
              </w:rPr>
              <w:t>100</w:t>
            </w:r>
          </w:p>
        </w:tc>
      </w:tr>
    </w:tbl>
    <w:p w14:paraId="1446738F" w14:textId="77777777" w:rsidR="00810F77" w:rsidRDefault="00810F77" w:rsidP="00810F77"/>
    <w:p w14:paraId="6DCBE6D9" w14:textId="77777777" w:rsidR="00810F77" w:rsidRPr="0042071C" w:rsidRDefault="00810F77" w:rsidP="00810F77">
      <w:pPr>
        <w:spacing w:after="0" w:line="240" w:lineRule="auto"/>
        <w:rPr>
          <w:rFonts w:ascii="Calibri" w:eastAsia="Times New Roman" w:hAnsi="Calibri" w:cs="Calibri"/>
          <w:color w:val="000000"/>
        </w:rPr>
      </w:pPr>
      <w:r w:rsidRPr="0042071C">
        <w:rPr>
          <w:rFonts w:ascii="Calibri" w:eastAsia="Times New Roman" w:hAnsi="Calibri" w:cs="Calibri"/>
          <w:color w:val="000000"/>
        </w:rPr>
        <w:t>FTA – Foreign Technical Assistance, USD $25.000 per person per month; full time for the first year, with decreasing onsite involvement 30% for second year, 10% third year and 5% onwards.</w:t>
      </w:r>
    </w:p>
    <w:p w14:paraId="426411FC" w14:textId="77777777" w:rsidR="00810F77" w:rsidRPr="0042071C" w:rsidRDefault="00810F77" w:rsidP="00810F77">
      <w:pPr>
        <w:spacing w:after="0" w:line="240" w:lineRule="auto"/>
        <w:rPr>
          <w:rFonts w:ascii="Calibri" w:eastAsia="Times New Roman" w:hAnsi="Calibri" w:cs="Calibri"/>
          <w:color w:val="000000"/>
        </w:rPr>
      </w:pPr>
      <w:r w:rsidRPr="0042071C">
        <w:rPr>
          <w:rFonts w:ascii="Calibri" w:eastAsia="Times New Roman" w:hAnsi="Calibri" w:cs="Calibri"/>
          <w:color w:val="000000"/>
        </w:rPr>
        <w:t>LTA – Local Technical Assistance, USD $2.500 per person per month, full time for the whole project cycle</w:t>
      </w:r>
    </w:p>
    <w:p w14:paraId="1412D3D4" w14:textId="77777777" w:rsidR="00810F77" w:rsidRPr="0042071C" w:rsidRDefault="00810F77" w:rsidP="00810F77">
      <w:pPr>
        <w:spacing w:after="0" w:line="240" w:lineRule="auto"/>
        <w:rPr>
          <w:rFonts w:ascii="Calibri" w:eastAsia="Times New Roman" w:hAnsi="Calibri" w:cs="Calibri"/>
          <w:color w:val="000000"/>
        </w:rPr>
      </w:pPr>
      <w:r w:rsidRPr="0042071C">
        <w:rPr>
          <w:rFonts w:ascii="Calibri" w:eastAsia="Times New Roman" w:hAnsi="Calibri" w:cs="Calibri"/>
          <w:color w:val="000000"/>
        </w:rPr>
        <w:t>SSA – Social Service Agency</w:t>
      </w:r>
    </w:p>
    <w:p w14:paraId="31553958" w14:textId="77777777" w:rsidR="00810F77" w:rsidRPr="0042071C" w:rsidRDefault="00810F77" w:rsidP="00810F77">
      <w:pPr>
        <w:spacing w:after="0" w:line="240" w:lineRule="auto"/>
        <w:rPr>
          <w:rFonts w:ascii="Calibri" w:eastAsia="Times New Roman" w:hAnsi="Calibri" w:cs="Calibri"/>
          <w:color w:val="000000"/>
        </w:rPr>
      </w:pPr>
      <w:r w:rsidRPr="0042071C">
        <w:rPr>
          <w:rFonts w:ascii="Calibri" w:eastAsia="Times New Roman" w:hAnsi="Calibri" w:cs="Calibri"/>
          <w:color w:val="000000"/>
        </w:rPr>
        <w:t>DRG – Diagnosis Related Groups</w:t>
      </w:r>
    </w:p>
    <w:p w14:paraId="2D85A9D4" w14:textId="77777777" w:rsidR="00810F77" w:rsidRPr="0042071C" w:rsidRDefault="00810F77" w:rsidP="00810F77">
      <w:pPr>
        <w:spacing w:after="0" w:line="240" w:lineRule="auto"/>
        <w:rPr>
          <w:rFonts w:ascii="Calibri" w:eastAsia="Times New Roman" w:hAnsi="Calibri" w:cs="Calibri"/>
          <w:color w:val="000000"/>
        </w:rPr>
      </w:pPr>
      <w:r w:rsidRPr="0042071C">
        <w:rPr>
          <w:rFonts w:ascii="Calibri" w:eastAsia="Times New Roman" w:hAnsi="Calibri" w:cs="Calibri"/>
          <w:color w:val="000000"/>
        </w:rPr>
        <w:t>PHC –Primary Health Care</w:t>
      </w:r>
    </w:p>
    <w:p w14:paraId="30FC5CCB" w14:textId="77777777" w:rsidR="00810F77" w:rsidRPr="00B363BE" w:rsidRDefault="00810F77" w:rsidP="0008533A">
      <w:pPr>
        <w:rPr>
          <w:rFonts w:ascii="Times New Roman" w:hAnsi="Times New Roman" w:cs="Times New Roman"/>
          <w:sz w:val="24"/>
          <w:szCs w:val="24"/>
        </w:rPr>
      </w:pPr>
    </w:p>
    <w:sectPr w:rsidR="00810F77" w:rsidRPr="00B363BE" w:rsidSect="00461F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563E8"/>
    <w:multiLevelType w:val="hybridMultilevel"/>
    <w:tmpl w:val="219CB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34565E2"/>
    <w:multiLevelType w:val="hybridMultilevel"/>
    <w:tmpl w:val="D24C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D00A5"/>
    <w:multiLevelType w:val="hybridMultilevel"/>
    <w:tmpl w:val="D3C2735C"/>
    <w:lvl w:ilvl="0" w:tplc="54C466B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3B76FC"/>
    <w:multiLevelType w:val="hybridMultilevel"/>
    <w:tmpl w:val="9F54EDB0"/>
    <w:lvl w:ilvl="0" w:tplc="54C466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6C"/>
    <w:rsid w:val="00031776"/>
    <w:rsid w:val="00055C6C"/>
    <w:rsid w:val="000571B9"/>
    <w:rsid w:val="000755BB"/>
    <w:rsid w:val="0008533A"/>
    <w:rsid w:val="000B28EF"/>
    <w:rsid w:val="0011094B"/>
    <w:rsid w:val="00164B07"/>
    <w:rsid w:val="001B3953"/>
    <w:rsid w:val="001D7FEF"/>
    <w:rsid w:val="00201856"/>
    <w:rsid w:val="00212A40"/>
    <w:rsid w:val="00212EB8"/>
    <w:rsid w:val="00215342"/>
    <w:rsid w:val="002205C6"/>
    <w:rsid w:val="00223291"/>
    <w:rsid w:val="0022543C"/>
    <w:rsid w:val="0022553A"/>
    <w:rsid w:val="0025165B"/>
    <w:rsid w:val="002722E7"/>
    <w:rsid w:val="002D4289"/>
    <w:rsid w:val="002D7193"/>
    <w:rsid w:val="002D7B24"/>
    <w:rsid w:val="002E2B0E"/>
    <w:rsid w:val="00303C5F"/>
    <w:rsid w:val="00334305"/>
    <w:rsid w:val="00344F0A"/>
    <w:rsid w:val="003A4EB7"/>
    <w:rsid w:val="003B59AF"/>
    <w:rsid w:val="003E4E1F"/>
    <w:rsid w:val="00430C2C"/>
    <w:rsid w:val="004320B6"/>
    <w:rsid w:val="0043765B"/>
    <w:rsid w:val="00456E9A"/>
    <w:rsid w:val="00461F77"/>
    <w:rsid w:val="004941BF"/>
    <w:rsid w:val="004B498C"/>
    <w:rsid w:val="004B79FA"/>
    <w:rsid w:val="004D6651"/>
    <w:rsid w:val="004E58FB"/>
    <w:rsid w:val="00510C1E"/>
    <w:rsid w:val="0053150E"/>
    <w:rsid w:val="0053380B"/>
    <w:rsid w:val="0055398F"/>
    <w:rsid w:val="00556319"/>
    <w:rsid w:val="00571DB6"/>
    <w:rsid w:val="00592510"/>
    <w:rsid w:val="00613E71"/>
    <w:rsid w:val="0063407B"/>
    <w:rsid w:val="00660E1A"/>
    <w:rsid w:val="006C430F"/>
    <w:rsid w:val="006C7EDD"/>
    <w:rsid w:val="006D50FD"/>
    <w:rsid w:val="006E4F5B"/>
    <w:rsid w:val="006E7209"/>
    <w:rsid w:val="006F0BAA"/>
    <w:rsid w:val="00752B79"/>
    <w:rsid w:val="00766191"/>
    <w:rsid w:val="00776A7D"/>
    <w:rsid w:val="00793FED"/>
    <w:rsid w:val="00795EBF"/>
    <w:rsid w:val="007B3A6B"/>
    <w:rsid w:val="00810F77"/>
    <w:rsid w:val="0082640C"/>
    <w:rsid w:val="00847780"/>
    <w:rsid w:val="0086005B"/>
    <w:rsid w:val="00882B6B"/>
    <w:rsid w:val="00887E6F"/>
    <w:rsid w:val="008A4287"/>
    <w:rsid w:val="008E53AF"/>
    <w:rsid w:val="008E6155"/>
    <w:rsid w:val="009165C8"/>
    <w:rsid w:val="009F4F9B"/>
    <w:rsid w:val="00A17434"/>
    <w:rsid w:val="00A43D97"/>
    <w:rsid w:val="00A57610"/>
    <w:rsid w:val="00A73368"/>
    <w:rsid w:val="00A904B0"/>
    <w:rsid w:val="00AC657B"/>
    <w:rsid w:val="00AF169C"/>
    <w:rsid w:val="00B16108"/>
    <w:rsid w:val="00B363BE"/>
    <w:rsid w:val="00B96F27"/>
    <w:rsid w:val="00BB2C80"/>
    <w:rsid w:val="00BC5CB5"/>
    <w:rsid w:val="00BD3BE3"/>
    <w:rsid w:val="00BE7301"/>
    <w:rsid w:val="00C5304F"/>
    <w:rsid w:val="00C86659"/>
    <w:rsid w:val="00CB286B"/>
    <w:rsid w:val="00CB320C"/>
    <w:rsid w:val="00D030E7"/>
    <w:rsid w:val="00D31D30"/>
    <w:rsid w:val="00D46C92"/>
    <w:rsid w:val="00D517EE"/>
    <w:rsid w:val="00D94625"/>
    <w:rsid w:val="00DA388E"/>
    <w:rsid w:val="00E022F8"/>
    <w:rsid w:val="00E02B63"/>
    <w:rsid w:val="00E43A58"/>
    <w:rsid w:val="00E8560A"/>
    <w:rsid w:val="00E92B95"/>
    <w:rsid w:val="00EC0995"/>
    <w:rsid w:val="00ED74F0"/>
    <w:rsid w:val="00EF39AB"/>
    <w:rsid w:val="00F10F6E"/>
    <w:rsid w:val="00F314E8"/>
    <w:rsid w:val="00F91A45"/>
    <w:rsid w:val="00F920AE"/>
    <w:rsid w:val="00FA7152"/>
    <w:rsid w:val="00FC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EE41"/>
  <w15:chartTrackingRefBased/>
  <w15:docId w15:val="{B0A6205E-B11D-4929-82D2-EE11012F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1BF"/>
    <w:pPr>
      <w:ind w:left="720"/>
      <w:contextualSpacing/>
    </w:pPr>
  </w:style>
  <w:style w:type="table" w:styleId="TableGrid">
    <w:name w:val="Table Grid"/>
    <w:basedOn w:val="TableNormal"/>
    <w:uiPriority w:val="39"/>
    <w:rsid w:val="00215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5CB5"/>
    <w:pPr>
      <w:spacing w:after="200" w:line="240" w:lineRule="auto"/>
    </w:pPr>
    <w:rPr>
      <w:i/>
      <w:iCs/>
      <w:color w:val="44546A" w:themeColor="text2"/>
      <w:sz w:val="18"/>
      <w:szCs w:val="18"/>
    </w:rPr>
  </w:style>
  <w:style w:type="paragraph" w:styleId="NoSpacing">
    <w:name w:val="No Spacing"/>
    <w:uiPriority w:val="1"/>
    <w:qFormat/>
    <w:rsid w:val="00810F77"/>
    <w:pPr>
      <w:spacing w:after="0" w:line="240" w:lineRule="auto"/>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59523">
      <w:bodyDiv w:val="1"/>
      <w:marLeft w:val="0"/>
      <w:marRight w:val="0"/>
      <w:marTop w:val="0"/>
      <w:marBottom w:val="0"/>
      <w:divBdr>
        <w:top w:val="none" w:sz="0" w:space="0" w:color="auto"/>
        <w:left w:val="none" w:sz="0" w:space="0" w:color="auto"/>
        <w:bottom w:val="none" w:sz="0" w:space="0" w:color="auto"/>
        <w:right w:val="none" w:sz="0" w:space="0" w:color="auto"/>
      </w:divBdr>
    </w:div>
    <w:div w:id="88147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worldbankgroup-my.sharepoint.com/personal/ipostolovska_worldbank_org/Documents/Georgia%20Economic%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'[Georgia Economic Analysis.xlsx]Baseline Scenario'!$B$23:$B$37</c:f>
              <c:numCache>
                <c:formatCode>General</c:formatCode>
                <c:ptCount val="15"/>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numCache>
            </c:numRef>
          </c:cat>
          <c:val>
            <c:numRef>
              <c:f>'[Georgia Economic Analysis.xlsx]Baseline Scenario'!$N$23:$N$37</c:f>
              <c:numCache>
                <c:formatCode>General</c:formatCode>
                <c:ptCount val="15"/>
                <c:pt idx="0">
                  <c:v>0</c:v>
                </c:pt>
                <c:pt idx="1">
                  <c:v>55.439319687377562</c:v>
                </c:pt>
                <c:pt idx="2">
                  <c:v>380.53682455490855</c:v>
                </c:pt>
                <c:pt idx="3">
                  <c:v>635.30575348623438</c:v>
                </c:pt>
                <c:pt idx="4">
                  <c:v>799.82352080248734</c:v>
                </c:pt>
                <c:pt idx="5">
                  <c:v>792.12971065114357</c:v>
                </c:pt>
                <c:pt idx="6">
                  <c:v>784.50991021957611</c:v>
                </c:pt>
                <c:pt idx="7">
                  <c:v>751.06462732715681</c:v>
                </c:pt>
                <c:pt idx="8">
                  <c:v>692.54054788698841</c:v>
                </c:pt>
                <c:pt idx="9">
                  <c:v>635.07290178293852</c:v>
                </c:pt>
                <c:pt idx="10">
                  <c:v>578.64677992066106</c:v>
                </c:pt>
                <c:pt idx="11">
                  <c:v>523.2474622839552</c:v>
                </c:pt>
                <c:pt idx="12">
                  <c:v>468.86041567671094</c:v>
                </c:pt>
                <c:pt idx="13">
                  <c:v>415.47129149080138</c:v>
                </c:pt>
                <c:pt idx="14">
                  <c:v>387.27031839960625</c:v>
                </c:pt>
              </c:numCache>
            </c:numRef>
          </c:val>
          <c:smooth val="0"/>
          <c:extLst>
            <c:ext xmlns:c16="http://schemas.microsoft.com/office/drawing/2014/chart" uri="{C3380CC4-5D6E-409C-BE32-E72D297353CC}">
              <c16:uniqueId val="{00000000-270F-4AA3-AC5E-67829042EAF0}"/>
            </c:ext>
          </c:extLst>
        </c:ser>
        <c:dLbls>
          <c:showLegendKey val="0"/>
          <c:showVal val="0"/>
          <c:showCatName val="0"/>
          <c:showSerName val="0"/>
          <c:showPercent val="0"/>
          <c:showBubbleSize val="0"/>
        </c:dLbls>
        <c:smooth val="0"/>
        <c:axId val="566988752"/>
        <c:axId val="473702048"/>
      </c:lineChart>
      <c:catAx>
        <c:axId val="56698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702048"/>
        <c:crosses val="autoZero"/>
        <c:auto val="1"/>
        <c:lblAlgn val="ctr"/>
        <c:lblOffset val="100"/>
        <c:noMultiLvlLbl val="0"/>
      </c:catAx>
      <c:valAx>
        <c:axId val="473702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DALYs averted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9887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Postolovska</dc:creator>
  <cp:keywords/>
  <dc:description/>
  <cp:lastModifiedBy>Iryna Postolovska</cp:lastModifiedBy>
  <cp:revision>8</cp:revision>
  <dcterms:created xsi:type="dcterms:W3CDTF">2017-09-28T21:26:00Z</dcterms:created>
  <dcterms:modified xsi:type="dcterms:W3CDTF">2017-09-28T21:36:00Z</dcterms:modified>
</cp:coreProperties>
</file>